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94" w:rsidRDefault="00634C94" w:rsidP="00634C94">
      <w:r>
        <w:rPr>
          <w:highlight w:val="yellow"/>
        </w:rPr>
        <w:t>Programme susceptible d’être éligible à une prise en charge FIF-PL ou DPC</w:t>
      </w:r>
      <w:r>
        <w:t> </w:t>
      </w:r>
    </w:p>
    <w:p w:rsidR="001C0D26" w:rsidRDefault="001C0D26" w:rsidP="00634C94"/>
    <w:p w:rsidR="002F7074" w:rsidRPr="00ED146C" w:rsidRDefault="002F7074" w:rsidP="002F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7365D"/>
          <w:sz w:val="28"/>
        </w:rPr>
      </w:pPr>
      <w:r w:rsidRPr="00ED146C">
        <w:rPr>
          <w:color w:val="17365D"/>
          <w:sz w:val="28"/>
        </w:rPr>
        <w:t xml:space="preserve">L’APHASIE : DE LA REMEDIATION DU LANGAGE  A LA REVALIDATION DE LA COMMUNICATION </w:t>
      </w:r>
    </w:p>
    <w:p w:rsidR="002F7074" w:rsidRPr="00ED146C" w:rsidRDefault="002F7074" w:rsidP="002F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7365D"/>
          <w:sz w:val="28"/>
        </w:rPr>
      </w:pPr>
      <w:r w:rsidRPr="00ED146C">
        <w:rPr>
          <w:color w:val="17365D"/>
          <w:sz w:val="28"/>
        </w:rPr>
        <w:t>UN ACCOMPAGNEMENT PATIENT ET PARTENAIRE(S)</w:t>
      </w:r>
    </w:p>
    <w:p w:rsidR="001C0D26" w:rsidRPr="00185356" w:rsidRDefault="001C0D26" w:rsidP="001C0D26">
      <w:pPr>
        <w:tabs>
          <w:tab w:val="left" w:pos="9639"/>
        </w:tabs>
        <w:ind w:right="282"/>
        <w:jc w:val="both"/>
        <w:rPr>
          <w:rFonts w:ascii="Arial" w:eastAsia="Times New Roman" w:hAnsi="Arial"/>
          <w:bCs/>
          <w:sz w:val="28"/>
          <w:u w:val="single"/>
          <w:lang w:eastAsia="fr-FR"/>
        </w:rPr>
      </w:pPr>
    </w:p>
    <w:p w:rsidR="001C0D26" w:rsidRPr="00185356" w:rsidRDefault="001C0D26" w:rsidP="001C0D26">
      <w:pPr>
        <w:tabs>
          <w:tab w:val="left" w:pos="9639"/>
        </w:tabs>
        <w:ind w:right="282"/>
        <w:jc w:val="both"/>
        <w:rPr>
          <w:rFonts w:ascii="Arial" w:eastAsia="Times New Roman" w:hAnsi="Arial"/>
          <w:bCs/>
          <w:sz w:val="28"/>
          <w:u w:val="single"/>
          <w:lang w:eastAsia="fr-FR"/>
        </w:rPr>
      </w:pPr>
    </w:p>
    <w:p w:rsidR="002F7074" w:rsidRPr="006E0C67" w:rsidRDefault="001C0D26" w:rsidP="002F7074">
      <w:pPr>
        <w:rPr>
          <w:rFonts w:asciiTheme="majorHAnsi" w:hAnsiTheme="majorHAnsi"/>
          <w:color w:val="17365D"/>
        </w:rPr>
      </w:pPr>
      <w:r w:rsidRPr="006E0C67">
        <w:rPr>
          <w:rFonts w:asciiTheme="majorHAnsi" w:eastAsia="Times New Roman" w:hAnsiTheme="majorHAnsi"/>
          <w:bCs/>
          <w:sz w:val="28"/>
          <w:u w:val="single"/>
          <w:lang w:eastAsia="fr-FR"/>
        </w:rPr>
        <w:t xml:space="preserve">Formatrice : </w:t>
      </w:r>
      <w:r w:rsidR="002F7074" w:rsidRPr="006E0C67">
        <w:rPr>
          <w:rFonts w:asciiTheme="majorHAnsi" w:hAnsiTheme="majorHAnsi"/>
          <w:b/>
          <w:color w:val="17365D"/>
          <w:sz w:val="32"/>
          <w:szCs w:val="32"/>
        </w:rPr>
        <w:t>Isabelle Gonzalez</w:t>
      </w:r>
      <w:r w:rsidR="002F7074" w:rsidRPr="006E0C67">
        <w:rPr>
          <w:rFonts w:asciiTheme="majorHAnsi" w:hAnsiTheme="majorHAnsi"/>
          <w:color w:val="17365D"/>
        </w:rPr>
        <w:t xml:space="preserve"> – Orthophoniste - CRF Les Grands Chênes 33021 BORDEAUX CEDEX</w:t>
      </w:r>
    </w:p>
    <w:p w:rsidR="001C0D26" w:rsidRPr="006E0C67" w:rsidRDefault="001C0D26" w:rsidP="001C0D26">
      <w:pPr>
        <w:tabs>
          <w:tab w:val="left" w:pos="9639"/>
        </w:tabs>
        <w:ind w:left="284" w:right="282"/>
        <w:jc w:val="both"/>
        <w:rPr>
          <w:rFonts w:asciiTheme="majorHAnsi" w:eastAsia="Times New Roman" w:hAnsiTheme="majorHAnsi"/>
          <w:bCs/>
          <w:sz w:val="28"/>
          <w:u w:val="single"/>
          <w:lang w:eastAsia="fr-FR"/>
        </w:rPr>
      </w:pPr>
    </w:p>
    <w:p w:rsidR="001C0D26" w:rsidRPr="006E0C67" w:rsidRDefault="001C0D26" w:rsidP="002F7074">
      <w:pPr>
        <w:tabs>
          <w:tab w:val="left" w:pos="9639"/>
        </w:tabs>
        <w:ind w:right="282"/>
        <w:jc w:val="both"/>
        <w:rPr>
          <w:rFonts w:asciiTheme="majorHAnsi" w:eastAsia="Times New Roman" w:hAnsiTheme="majorHAnsi"/>
          <w:bCs/>
          <w:sz w:val="28"/>
          <w:u w:val="single"/>
          <w:lang w:eastAsia="fr-FR"/>
        </w:rPr>
      </w:pPr>
      <w:r w:rsidRPr="006E0C67">
        <w:rPr>
          <w:rFonts w:asciiTheme="majorHAnsi" w:eastAsia="Times New Roman" w:hAnsiTheme="majorHAnsi"/>
          <w:bCs/>
          <w:sz w:val="28"/>
          <w:u w:val="single"/>
          <w:lang w:eastAsia="fr-FR"/>
        </w:rPr>
        <w:t>Dates :</w:t>
      </w:r>
      <w:r w:rsidR="006E0C67" w:rsidRPr="006E0C67">
        <w:rPr>
          <w:rFonts w:asciiTheme="majorHAnsi" w:eastAsia="Times New Roman" w:hAnsiTheme="majorHAnsi"/>
          <w:bCs/>
          <w:sz w:val="28"/>
          <w:lang w:eastAsia="fr-FR"/>
        </w:rPr>
        <w:t xml:space="preserve"> </w:t>
      </w:r>
      <w:r w:rsidR="006E0C67" w:rsidRPr="006E0C67">
        <w:rPr>
          <w:rFonts w:asciiTheme="majorHAnsi" w:eastAsia="Times New Roman" w:hAnsiTheme="majorHAnsi"/>
          <w:b/>
          <w:bCs/>
          <w:lang w:eastAsia="fr-FR"/>
        </w:rPr>
        <w:t>MERCREDI 29 ET JEUDI 30 NOVEMBRE 2017</w:t>
      </w:r>
      <w:r w:rsidRPr="006E0C67">
        <w:rPr>
          <w:rFonts w:asciiTheme="majorHAnsi" w:eastAsia="Times New Roman" w:hAnsiTheme="majorHAnsi"/>
          <w:bCs/>
          <w:sz w:val="28"/>
          <w:lang w:eastAsia="fr-FR"/>
        </w:rPr>
        <w:t>, soit 14h en 2 jours</w:t>
      </w:r>
    </w:p>
    <w:p w:rsidR="001C0D26" w:rsidRPr="006E0C67" w:rsidRDefault="001C0D26" w:rsidP="001C0D26">
      <w:pPr>
        <w:tabs>
          <w:tab w:val="left" w:pos="9639"/>
        </w:tabs>
        <w:ind w:left="284" w:right="282"/>
        <w:jc w:val="both"/>
        <w:rPr>
          <w:rFonts w:asciiTheme="majorHAnsi" w:eastAsia="Times New Roman" w:hAnsiTheme="majorHAnsi"/>
          <w:bCs/>
          <w:sz w:val="28"/>
          <w:u w:val="single"/>
          <w:lang w:eastAsia="fr-FR"/>
        </w:rPr>
      </w:pPr>
    </w:p>
    <w:p w:rsidR="001C0D26" w:rsidRPr="006E0C67" w:rsidRDefault="001C0D26" w:rsidP="002F7074">
      <w:pPr>
        <w:tabs>
          <w:tab w:val="left" w:pos="9639"/>
        </w:tabs>
        <w:ind w:right="282"/>
        <w:jc w:val="both"/>
        <w:rPr>
          <w:rFonts w:asciiTheme="majorHAnsi" w:eastAsia="Times New Roman" w:hAnsiTheme="majorHAnsi"/>
          <w:bCs/>
          <w:sz w:val="28"/>
          <w:lang w:eastAsia="fr-FR"/>
        </w:rPr>
      </w:pPr>
      <w:r w:rsidRPr="006E0C67">
        <w:rPr>
          <w:rFonts w:asciiTheme="majorHAnsi" w:eastAsia="Times New Roman" w:hAnsiTheme="majorHAnsi"/>
          <w:bCs/>
          <w:sz w:val="28"/>
          <w:u w:val="single"/>
          <w:lang w:eastAsia="fr-FR"/>
        </w:rPr>
        <w:t>Lieu :</w:t>
      </w:r>
      <w:r w:rsidR="006A40AC" w:rsidRPr="006E0C67">
        <w:rPr>
          <w:rFonts w:asciiTheme="majorHAnsi" w:eastAsia="Times New Roman" w:hAnsiTheme="majorHAnsi"/>
          <w:bCs/>
          <w:sz w:val="28"/>
          <w:u w:val="single"/>
          <w:lang w:eastAsia="fr-FR"/>
        </w:rPr>
        <w:t xml:space="preserve"> </w:t>
      </w:r>
      <w:r w:rsidR="006A40AC" w:rsidRPr="006E0C67">
        <w:rPr>
          <w:rFonts w:asciiTheme="majorHAnsi" w:eastAsia="Times New Roman" w:hAnsiTheme="majorHAnsi"/>
          <w:bCs/>
          <w:sz w:val="28"/>
          <w:lang w:eastAsia="fr-FR"/>
        </w:rPr>
        <w:t xml:space="preserve">IBIS STYLE METZ CENTRE GARE – 23 avenue Foch – 57000 METZ </w:t>
      </w:r>
      <w:r w:rsidRPr="006E0C67">
        <w:rPr>
          <w:rFonts w:asciiTheme="majorHAnsi" w:eastAsia="Times New Roman" w:hAnsiTheme="majorHAnsi"/>
          <w:bCs/>
          <w:sz w:val="28"/>
          <w:lang w:eastAsia="fr-FR"/>
        </w:rPr>
        <w:t xml:space="preserve"> </w:t>
      </w:r>
    </w:p>
    <w:p w:rsidR="001C0D26" w:rsidRPr="006E0C67" w:rsidRDefault="001C0D26" w:rsidP="001C0D26">
      <w:pPr>
        <w:tabs>
          <w:tab w:val="left" w:pos="9639"/>
        </w:tabs>
        <w:ind w:left="284" w:right="282"/>
        <w:jc w:val="both"/>
        <w:rPr>
          <w:rFonts w:asciiTheme="majorHAnsi" w:eastAsia="Times New Roman" w:hAnsiTheme="majorHAnsi"/>
          <w:bCs/>
          <w:sz w:val="28"/>
          <w:u w:val="single"/>
          <w:lang w:eastAsia="fr-FR"/>
        </w:rPr>
      </w:pPr>
    </w:p>
    <w:p w:rsidR="001C0D26" w:rsidRPr="006E0C67" w:rsidRDefault="001C0D26" w:rsidP="002F7074">
      <w:pPr>
        <w:tabs>
          <w:tab w:val="left" w:pos="9639"/>
        </w:tabs>
        <w:ind w:right="282"/>
        <w:jc w:val="both"/>
        <w:rPr>
          <w:rFonts w:asciiTheme="majorHAnsi" w:eastAsia="Times New Roman" w:hAnsiTheme="majorHAnsi"/>
          <w:bCs/>
          <w:sz w:val="28"/>
          <w:lang w:eastAsia="fr-FR"/>
        </w:rPr>
      </w:pPr>
      <w:r w:rsidRPr="006E0C67">
        <w:rPr>
          <w:rFonts w:asciiTheme="majorHAnsi" w:eastAsia="Times New Roman" w:hAnsiTheme="majorHAnsi"/>
          <w:bCs/>
          <w:sz w:val="28"/>
          <w:u w:val="single"/>
          <w:lang w:eastAsia="fr-FR"/>
        </w:rPr>
        <w:t>Public concerné </w:t>
      </w:r>
      <w:r w:rsidRPr="006E0C67">
        <w:rPr>
          <w:rFonts w:asciiTheme="majorHAnsi" w:eastAsia="Times New Roman" w:hAnsiTheme="majorHAnsi"/>
          <w:bCs/>
          <w:sz w:val="28"/>
          <w:lang w:eastAsia="fr-FR"/>
        </w:rPr>
        <w:t>: ORTHOPHONIST</w:t>
      </w:r>
      <w:r w:rsidR="006E0C67" w:rsidRPr="006E0C67">
        <w:rPr>
          <w:rFonts w:asciiTheme="majorHAnsi" w:eastAsia="Times New Roman" w:hAnsiTheme="majorHAnsi"/>
          <w:bCs/>
          <w:sz w:val="28"/>
          <w:lang w:eastAsia="fr-FR"/>
        </w:rPr>
        <w:t>ES. Nombre de places limité à 20</w:t>
      </w:r>
      <w:r w:rsidRPr="006E0C67">
        <w:rPr>
          <w:rFonts w:asciiTheme="majorHAnsi" w:eastAsia="Times New Roman" w:hAnsiTheme="majorHAnsi"/>
          <w:bCs/>
          <w:sz w:val="28"/>
          <w:lang w:eastAsia="fr-FR"/>
        </w:rPr>
        <w:t>.</w:t>
      </w:r>
    </w:p>
    <w:p w:rsidR="006A40AC" w:rsidRPr="006E0C67" w:rsidRDefault="006A40AC" w:rsidP="001C0D26">
      <w:pPr>
        <w:tabs>
          <w:tab w:val="left" w:pos="9639"/>
        </w:tabs>
        <w:ind w:left="284" w:right="282"/>
        <w:jc w:val="both"/>
        <w:rPr>
          <w:rFonts w:asciiTheme="majorHAnsi" w:eastAsia="Times New Roman" w:hAnsiTheme="majorHAnsi"/>
          <w:bCs/>
          <w:sz w:val="28"/>
          <w:u w:val="single"/>
          <w:lang w:eastAsia="fr-FR"/>
        </w:rPr>
      </w:pPr>
    </w:p>
    <w:p w:rsidR="006A40AC" w:rsidRPr="006E0C67" w:rsidRDefault="006A40AC" w:rsidP="001C0D26">
      <w:pPr>
        <w:tabs>
          <w:tab w:val="left" w:pos="9639"/>
        </w:tabs>
        <w:ind w:left="284" w:right="282"/>
        <w:jc w:val="both"/>
        <w:rPr>
          <w:rFonts w:asciiTheme="majorHAnsi" w:eastAsia="Times New Roman" w:hAnsiTheme="majorHAnsi"/>
          <w:bCs/>
          <w:sz w:val="28"/>
          <w:u w:val="single"/>
          <w:lang w:eastAsia="fr-FR"/>
        </w:rPr>
      </w:pPr>
    </w:p>
    <w:p w:rsidR="006A40AC" w:rsidRPr="006E0C67" w:rsidRDefault="006A40AC" w:rsidP="002F7074">
      <w:pPr>
        <w:tabs>
          <w:tab w:val="left" w:pos="9639"/>
        </w:tabs>
        <w:ind w:right="282"/>
        <w:rPr>
          <w:rFonts w:asciiTheme="majorHAnsi" w:eastAsia="Times New Roman" w:hAnsiTheme="majorHAnsi"/>
          <w:bCs/>
          <w:sz w:val="28"/>
          <w:u w:val="single"/>
          <w:lang w:eastAsia="fr-FR"/>
        </w:rPr>
      </w:pPr>
    </w:p>
    <w:p w:rsidR="002F7074" w:rsidRPr="006E0C67" w:rsidRDefault="002F7074" w:rsidP="002F7074">
      <w:pPr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  <w:u w:val="single"/>
        </w:rPr>
        <w:t>OBJECTIFS PEDAGOGIQUES DE LA FORMATION</w:t>
      </w:r>
      <w:r w:rsidRPr="006E0C67">
        <w:rPr>
          <w:rFonts w:asciiTheme="majorHAnsi" w:hAnsiTheme="majorHAnsi"/>
          <w:color w:val="17365D"/>
        </w:rPr>
        <w:t> :</w:t>
      </w:r>
    </w:p>
    <w:p w:rsidR="002F7074" w:rsidRPr="006E0C67" w:rsidRDefault="002F7074" w:rsidP="002F7074">
      <w:pPr>
        <w:pStyle w:val="Paragraphedeliste"/>
        <w:numPr>
          <w:ilvl w:val="0"/>
          <w:numId w:val="8"/>
        </w:numPr>
        <w:spacing w:before="120" w:after="120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 xml:space="preserve">Poser les fondements d'une démarche de </w:t>
      </w:r>
      <w:r w:rsidRPr="006E0C67">
        <w:rPr>
          <w:rFonts w:asciiTheme="majorHAnsi" w:hAnsiTheme="majorHAnsi"/>
          <w:b/>
          <w:i/>
          <w:color w:val="17365D"/>
        </w:rPr>
        <w:t>remédiation du langage</w:t>
      </w:r>
      <w:r w:rsidRPr="006E0C67">
        <w:rPr>
          <w:rFonts w:asciiTheme="majorHAnsi" w:hAnsiTheme="majorHAnsi"/>
          <w:color w:val="17365D"/>
        </w:rPr>
        <w:t xml:space="preserve"> de la personne aphasique adulte : quelle pratique rééducative ?</w:t>
      </w:r>
    </w:p>
    <w:p w:rsidR="002F7074" w:rsidRPr="006E0C67" w:rsidRDefault="002F7074" w:rsidP="002F7074">
      <w:pPr>
        <w:pStyle w:val="Paragraphedeliste"/>
        <w:numPr>
          <w:ilvl w:val="0"/>
          <w:numId w:val="8"/>
        </w:numPr>
        <w:spacing w:before="120" w:after="120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 xml:space="preserve">Poser les fondements d’une </w:t>
      </w:r>
      <w:r w:rsidRPr="006E0C67">
        <w:rPr>
          <w:rFonts w:asciiTheme="majorHAnsi" w:hAnsiTheme="majorHAnsi"/>
          <w:b/>
          <w:i/>
          <w:color w:val="17365D"/>
        </w:rPr>
        <w:t>prise en charge de la communication</w:t>
      </w:r>
      <w:r w:rsidRPr="006E0C67">
        <w:rPr>
          <w:rFonts w:asciiTheme="majorHAnsi" w:hAnsiTheme="majorHAnsi"/>
          <w:color w:val="17365D"/>
        </w:rPr>
        <w:t xml:space="preserve"> : </w:t>
      </w:r>
    </w:p>
    <w:p w:rsidR="002F7074" w:rsidRPr="006E0C67" w:rsidRDefault="002F7074" w:rsidP="002F7074">
      <w:pPr>
        <w:pStyle w:val="Paragraphedeliste"/>
        <w:numPr>
          <w:ilvl w:val="1"/>
          <w:numId w:val="8"/>
        </w:numPr>
        <w:spacing w:before="120" w:after="120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>les groupes de communication</w:t>
      </w:r>
    </w:p>
    <w:p w:rsidR="002F7074" w:rsidRPr="006E0C67" w:rsidRDefault="002F7074" w:rsidP="002F7074">
      <w:pPr>
        <w:pStyle w:val="Paragraphedeliste"/>
        <w:numPr>
          <w:ilvl w:val="1"/>
          <w:numId w:val="8"/>
        </w:numPr>
        <w:spacing w:before="120" w:after="120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>la prise en charge palliative auprès du patient, de son aidant principal, et d’une équipe de soins : pertinence, construction, mise en place et utilisation d’un classeur de communication </w:t>
      </w:r>
    </w:p>
    <w:p w:rsidR="002F7074" w:rsidRPr="006E0C67" w:rsidRDefault="002F7074" w:rsidP="002F7074">
      <w:pPr>
        <w:pStyle w:val="Paragraphedeliste"/>
        <w:numPr>
          <w:ilvl w:val="0"/>
          <w:numId w:val="8"/>
        </w:numPr>
        <w:spacing w:before="120" w:after="120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>Proposer un état des lieux des outils-papier et informatiques disponibles actuellement</w:t>
      </w:r>
    </w:p>
    <w:p w:rsidR="002F7074" w:rsidRPr="006E0C67" w:rsidRDefault="002F7074" w:rsidP="002F7074">
      <w:pPr>
        <w:pStyle w:val="Paragraphedeliste"/>
        <w:numPr>
          <w:ilvl w:val="0"/>
          <w:numId w:val="8"/>
        </w:numPr>
        <w:spacing w:after="0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>Apporter des bases pour évaluer nos pratiques</w:t>
      </w:r>
    </w:p>
    <w:p w:rsidR="002F7074" w:rsidRPr="006E0C67" w:rsidRDefault="002F7074" w:rsidP="002F7074">
      <w:pPr>
        <w:pStyle w:val="Paragraphedeliste"/>
        <w:spacing w:after="0"/>
        <w:rPr>
          <w:rFonts w:asciiTheme="majorHAnsi" w:hAnsiTheme="majorHAnsi"/>
          <w:color w:val="17365D"/>
          <w:sz w:val="2"/>
        </w:rPr>
      </w:pPr>
    </w:p>
    <w:p w:rsidR="002F7074" w:rsidRPr="006E0C67" w:rsidRDefault="002F7074" w:rsidP="002F7074">
      <w:pPr>
        <w:numPr>
          <w:ilvl w:val="0"/>
          <w:numId w:val="8"/>
        </w:numPr>
        <w:spacing w:line="276" w:lineRule="auto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 xml:space="preserve">Outils pédagogiques : supports </w:t>
      </w:r>
      <w:proofErr w:type="spellStart"/>
      <w:r w:rsidRPr="006E0C67">
        <w:rPr>
          <w:rFonts w:asciiTheme="majorHAnsi" w:hAnsiTheme="majorHAnsi"/>
          <w:color w:val="17365D"/>
        </w:rPr>
        <w:t>audios</w:t>
      </w:r>
      <w:proofErr w:type="spellEnd"/>
      <w:r w:rsidRPr="006E0C67">
        <w:rPr>
          <w:rFonts w:asciiTheme="majorHAnsi" w:hAnsiTheme="majorHAnsi"/>
          <w:color w:val="17365D"/>
        </w:rPr>
        <w:t>, vidéos, essais pratiques en petits groupes (temps dédié à la création de matériel, manipulations concrètes d’outils)</w:t>
      </w:r>
    </w:p>
    <w:p w:rsidR="002F7074" w:rsidRPr="006E0C67" w:rsidRDefault="002F7074" w:rsidP="002F7074">
      <w:pPr>
        <w:numPr>
          <w:ilvl w:val="0"/>
          <w:numId w:val="8"/>
        </w:numPr>
        <w:spacing w:line="276" w:lineRule="auto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 xml:space="preserve">Support pédagogique format </w:t>
      </w:r>
      <w:proofErr w:type="spellStart"/>
      <w:r w:rsidRPr="006E0C67">
        <w:rPr>
          <w:rFonts w:asciiTheme="majorHAnsi" w:hAnsiTheme="majorHAnsi"/>
          <w:color w:val="17365D"/>
        </w:rPr>
        <w:t>ppt</w:t>
      </w:r>
      <w:proofErr w:type="spellEnd"/>
      <w:r w:rsidRPr="006E0C67">
        <w:rPr>
          <w:rFonts w:asciiTheme="majorHAnsi" w:hAnsiTheme="majorHAnsi"/>
          <w:color w:val="17365D"/>
        </w:rPr>
        <w:t xml:space="preserve"> à imprimer par le centre d’accueil</w:t>
      </w:r>
    </w:p>
    <w:p w:rsidR="002F7074" w:rsidRPr="006E0C67" w:rsidRDefault="002F7074" w:rsidP="002F7074">
      <w:pPr>
        <w:rPr>
          <w:rFonts w:asciiTheme="majorHAnsi" w:hAnsiTheme="majorHAnsi"/>
          <w:color w:val="17365D"/>
        </w:rPr>
      </w:pPr>
    </w:p>
    <w:p w:rsidR="002F7074" w:rsidRPr="006E0C67" w:rsidRDefault="002F7074" w:rsidP="002F7074">
      <w:pPr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  <w:u w:val="single"/>
        </w:rPr>
        <w:t>ANALYSE DES PRATIQUES</w:t>
      </w:r>
      <w:r w:rsidRPr="006E0C67">
        <w:rPr>
          <w:rFonts w:asciiTheme="majorHAnsi" w:hAnsiTheme="majorHAnsi"/>
          <w:color w:val="17365D"/>
        </w:rPr>
        <w:t> :</w:t>
      </w:r>
    </w:p>
    <w:p w:rsidR="002F7074" w:rsidRPr="006E0C67" w:rsidRDefault="002F7074" w:rsidP="002F7074">
      <w:pPr>
        <w:spacing w:line="276" w:lineRule="auto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>Confronter les apports théoriques et pratiques aux expériences rapportées par le groupe</w:t>
      </w:r>
    </w:p>
    <w:p w:rsidR="002F7074" w:rsidRPr="006E0C67" w:rsidRDefault="002F7074" w:rsidP="002F7074">
      <w:pPr>
        <w:rPr>
          <w:rFonts w:asciiTheme="majorHAnsi" w:hAnsiTheme="majorHAnsi"/>
          <w:i/>
          <w:color w:val="17365D"/>
          <w:sz w:val="20"/>
        </w:rPr>
      </w:pPr>
      <w:r w:rsidRPr="006E0C67">
        <w:rPr>
          <w:rFonts w:asciiTheme="majorHAnsi" w:hAnsiTheme="majorHAnsi"/>
          <w:color w:val="17365D"/>
        </w:rPr>
        <w:t xml:space="preserve">  </w:t>
      </w:r>
      <w:r w:rsidRPr="006E0C67">
        <w:rPr>
          <w:rFonts w:asciiTheme="majorHAnsi" w:hAnsiTheme="majorHAnsi"/>
          <w:i/>
          <w:color w:val="17365D"/>
          <w:sz w:val="20"/>
        </w:rPr>
        <w:t xml:space="preserve"> </w:t>
      </w:r>
    </w:p>
    <w:p w:rsidR="002F7074" w:rsidRPr="006E0C67" w:rsidRDefault="002F7074" w:rsidP="002F7074">
      <w:pPr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  <w:u w:val="single"/>
        </w:rPr>
        <w:t>MOYENS TECHNIQUES</w:t>
      </w:r>
      <w:r w:rsidRPr="006E0C67">
        <w:rPr>
          <w:rFonts w:asciiTheme="majorHAnsi" w:hAnsiTheme="majorHAnsi"/>
          <w:color w:val="17365D"/>
        </w:rPr>
        <w:t xml:space="preserve"> : </w:t>
      </w:r>
    </w:p>
    <w:p w:rsidR="002F7074" w:rsidRPr="006E0C67" w:rsidRDefault="002F7074" w:rsidP="002F7074">
      <w:pPr>
        <w:rPr>
          <w:rFonts w:asciiTheme="majorHAnsi" w:hAnsiTheme="majorHAnsi"/>
          <w:color w:val="17365D"/>
        </w:rPr>
      </w:pPr>
      <w:proofErr w:type="spellStart"/>
      <w:r w:rsidRPr="006E0C67">
        <w:rPr>
          <w:rFonts w:asciiTheme="majorHAnsi" w:hAnsiTheme="majorHAnsi"/>
          <w:color w:val="17365D"/>
        </w:rPr>
        <w:t>Pré-requis</w:t>
      </w:r>
      <w:proofErr w:type="spellEnd"/>
      <w:r w:rsidRPr="006E0C67">
        <w:rPr>
          <w:rFonts w:asciiTheme="majorHAnsi" w:hAnsiTheme="majorHAnsi"/>
          <w:color w:val="17365D"/>
        </w:rPr>
        <w:t xml:space="preserve"> pour les participants : pratique régulière de l’informatique, connaissance du traitement de texte </w:t>
      </w:r>
    </w:p>
    <w:p w:rsidR="002F7074" w:rsidRPr="006E0C67" w:rsidRDefault="002F7074" w:rsidP="002F7074">
      <w:pPr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</w:rPr>
        <w:t>Ordinateur portable personnel souhaité pour chaque participant</w:t>
      </w:r>
    </w:p>
    <w:p w:rsidR="00500FFF" w:rsidRDefault="00500FFF" w:rsidP="002F7074">
      <w:pPr>
        <w:spacing w:line="276" w:lineRule="auto"/>
        <w:rPr>
          <w:rFonts w:asciiTheme="majorHAnsi" w:hAnsiTheme="majorHAnsi"/>
          <w:color w:val="17365D"/>
        </w:rPr>
      </w:pPr>
    </w:p>
    <w:p w:rsidR="00500FFF" w:rsidRDefault="00500FFF" w:rsidP="002F7074">
      <w:pPr>
        <w:spacing w:line="276" w:lineRule="auto"/>
        <w:rPr>
          <w:rFonts w:asciiTheme="majorHAnsi" w:hAnsiTheme="majorHAnsi"/>
          <w:color w:val="17365D"/>
        </w:rPr>
      </w:pPr>
    </w:p>
    <w:p w:rsidR="002F7074" w:rsidRPr="006E0C67" w:rsidRDefault="006E0C67" w:rsidP="002F7074">
      <w:pPr>
        <w:spacing w:line="276" w:lineRule="auto"/>
        <w:rPr>
          <w:rFonts w:asciiTheme="majorHAnsi" w:hAnsiTheme="majorHAnsi"/>
          <w:color w:val="17365D"/>
        </w:rPr>
      </w:pPr>
      <w:r w:rsidRPr="006E0C67">
        <w:rPr>
          <w:rFonts w:asciiTheme="majorHAnsi" w:hAnsiTheme="majorHAnsi"/>
          <w:color w:val="17365D"/>
          <w:u w:val="single"/>
        </w:rPr>
        <w:lastRenderedPageBreak/>
        <w:t>PROGRAMME</w:t>
      </w:r>
      <w:r w:rsidR="002F7074" w:rsidRPr="006E0C67">
        <w:rPr>
          <w:rFonts w:asciiTheme="majorHAnsi" w:hAnsiTheme="majorHAnsi"/>
          <w:color w:val="17365D"/>
        </w:rPr>
        <w:t> :</w:t>
      </w:r>
    </w:p>
    <w:p w:rsidR="002F7074" w:rsidRPr="006E0C67" w:rsidRDefault="002F7074" w:rsidP="002F7074">
      <w:pPr>
        <w:spacing w:line="276" w:lineRule="auto"/>
        <w:rPr>
          <w:rFonts w:asciiTheme="majorHAnsi" w:hAnsiTheme="majorHAnsi"/>
          <w:b/>
          <w:color w:val="17365D"/>
        </w:rPr>
      </w:pPr>
      <w:r w:rsidRPr="006E0C67">
        <w:rPr>
          <w:rFonts w:asciiTheme="majorHAnsi" w:hAnsiTheme="majorHAnsi"/>
          <w:b/>
          <w:color w:val="17365D"/>
        </w:rPr>
        <w:t>08h30-12h30</w:t>
      </w:r>
    </w:p>
    <w:p w:rsidR="002F7074" w:rsidRPr="006E0C67" w:rsidRDefault="002F7074" w:rsidP="002F7074">
      <w:pPr>
        <w:widowControl w:val="0"/>
        <w:numPr>
          <w:ilvl w:val="0"/>
          <w:numId w:val="9"/>
        </w:numPr>
        <w:suppressAutoHyphens/>
        <w:spacing w:line="276" w:lineRule="auto"/>
        <w:rPr>
          <w:rFonts w:asciiTheme="majorHAnsi" w:hAnsiTheme="majorHAnsi" w:cs="Tahoma"/>
          <w:b/>
          <w:bCs/>
          <w:i/>
          <w:iCs/>
          <w:color w:val="17365D"/>
        </w:rPr>
      </w:pPr>
      <w:r w:rsidRPr="006E0C67">
        <w:rPr>
          <w:rFonts w:asciiTheme="majorHAnsi" w:hAnsiTheme="majorHAnsi" w:cs="Tahoma"/>
          <w:b/>
          <w:bCs/>
          <w:i/>
          <w:iCs/>
          <w:color w:val="17365D"/>
        </w:rPr>
        <w:t xml:space="preserve">Les approches rééducatives, </w:t>
      </w:r>
      <w:proofErr w:type="spellStart"/>
      <w:r w:rsidRPr="006E0C67">
        <w:rPr>
          <w:rFonts w:asciiTheme="majorHAnsi" w:hAnsiTheme="majorHAnsi" w:cs="Tahoma"/>
          <w:b/>
          <w:bCs/>
          <w:i/>
          <w:iCs/>
          <w:color w:val="17365D"/>
        </w:rPr>
        <w:t>réadaptatives</w:t>
      </w:r>
      <w:proofErr w:type="spellEnd"/>
      <w:r w:rsidRPr="006E0C67">
        <w:rPr>
          <w:rFonts w:asciiTheme="majorHAnsi" w:hAnsiTheme="majorHAnsi" w:cs="Tahoma"/>
          <w:b/>
          <w:bCs/>
          <w:i/>
          <w:iCs/>
          <w:color w:val="17365D"/>
        </w:rPr>
        <w:t xml:space="preserve"> et palliatives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bCs/>
          <w:iCs/>
          <w:color w:val="17365D"/>
        </w:rPr>
      </w:pPr>
      <w:r w:rsidRPr="006E0C67">
        <w:rPr>
          <w:rFonts w:asciiTheme="majorHAnsi" w:hAnsiTheme="majorHAnsi" w:cs="Tahoma"/>
          <w:bCs/>
          <w:iCs/>
          <w:color w:val="17365D"/>
        </w:rPr>
        <w:t>Historique des prises en charge : du papyrus à l’ordinateur, de l’approche neurolinguistique aux approches pragmatiques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bCs/>
          <w:iCs/>
          <w:color w:val="17365D"/>
        </w:rPr>
      </w:pPr>
      <w:r w:rsidRPr="006E0C67">
        <w:rPr>
          <w:rFonts w:asciiTheme="majorHAnsi" w:hAnsiTheme="majorHAnsi" w:cs="Tahoma"/>
          <w:bCs/>
          <w:iCs/>
          <w:color w:val="17365D"/>
        </w:rPr>
        <w:t>Réduire la situation de handicap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bCs/>
          <w:iCs/>
          <w:color w:val="17365D"/>
        </w:rPr>
      </w:pPr>
      <w:r w:rsidRPr="006E0C67">
        <w:rPr>
          <w:rFonts w:asciiTheme="majorHAnsi" w:hAnsiTheme="majorHAnsi" w:cs="Tahoma"/>
          <w:bCs/>
          <w:iCs/>
          <w:color w:val="17365D"/>
        </w:rPr>
        <w:t>Le contexte : le potentiel de récupération d’un cerveau lésé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bCs/>
          <w:iCs/>
          <w:color w:val="17365D"/>
        </w:rPr>
      </w:pPr>
      <w:r w:rsidRPr="006E0C67">
        <w:rPr>
          <w:rFonts w:asciiTheme="majorHAnsi" w:hAnsiTheme="majorHAnsi" w:cs="Tahoma"/>
          <w:bCs/>
          <w:iCs/>
          <w:color w:val="17365D"/>
        </w:rPr>
        <w:t>Définition des objectifs et alliance thérapeutique : patient, aidant, rééducateur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bCs/>
          <w:iCs/>
          <w:color w:val="17365D"/>
        </w:rPr>
      </w:pPr>
      <w:r w:rsidRPr="006E0C67">
        <w:rPr>
          <w:rFonts w:asciiTheme="majorHAnsi" w:hAnsiTheme="majorHAnsi" w:cs="Tahoma"/>
          <w:bCs/>
          <w:iCs/>
          <w:color w:val="17365D"/>
        </w:rPr>
        <w:t>Le travail en équipe</w:t>
      </w:r>
    </w:p>
    <w:p w:rsidR="002F7074" w:rsidRPr="006E0C67" w:rsidRDefault="002F7074" w:rsidP="002F7074">
      <w:pPr>
        <w:widowControl w:val="0"/>
        <w:numPr>
          <w:ilvl w:val="0"/>
          <w:numId w:val="9"/>
        </w:numPr>
        <w:suppressAutoHyphens/>
        <w:spacing w:line="276" w:lineRule="auto"/>
        <w:rPr>
          <w:rFonts w:asciiTheme="majorHAnsi" w:hAnsiTheme="majorHAnsi" w:cs="Tahoma"/>
          <w:b/>
          <w:bCs/>
          <w:i/>
          <w:iCs/>
          <w:color w:val="17365D"/>
        </w:rPr>
      </w:pPr>
      <w:r w:rsidRPr="006E0C67">
        <w:rPr>
          <w:rFonts w:asciiTheme="majorHAnsi" w:hAnsiTheme="majorHAnsi" w:cs="Tahoma"/>
          <w:b/>
          <w:bCs/>
          <w:i/>
          <w:iCs/>
          <w:color w:val="17365D"/>
        </w:rPr>
        <w:t>Remédier aux troubles du langage dans l’aphasie : approches neurolinguistiques et cognitives. Le patient et son rééducateur</w:t>
      </w:r>
    </w:p>
    <w:p w:rsidR="002F7074" w:rsidRPr="006E0C67" w:rsidRDefault="002F7074" w:rsidP="002F7074">
      <w:pPr>
        <w:widowControl w:val="0"/>
        <w:suppressAutoHyphens/>
        <w:spacing w:line="276" w:lineRule="auto"/>
        <w:ind w:left="720"/>
        <w:rPr>
          <w:rFonts w:asciiTheme="majorHAnsi" w:hAnsiTheme="majorHAnsi" w:cs="Tahoma"/>
          <w:b/>
          <w:bCs/>
          <w:i/>
          <w:iCs/>
          <w:color w:val="17365D"/>
        </w:rPr>
      </w:pPr>
      <w:r w:rsidRPr="006E0C67">
        <w:rPr>
          <w:rFonts w:asciiTheme="majorHAnsi" w:hAnsiTheme="majorHAnsi" w:cs="Tahoma"/>
          <w:b/>
          <w:bCs/>
          <w:i/>
          <w:iCs/>
          <w:color w:val="17365D"/>
        </w:rPr>
        <w:t>Entraîner et développer les habiletés de la personne aphasique : langage oral</w:t>
      </w:r>
    </w:p>
    <w:p w:rsidR="002F7074" w:rsidRPr="006E0C67" w:rsidRDefault="002F7074" w:rsidP="002F7074">
      <w:pPr>
        <w:pStyle w:val="Paragraphedeliste"/>
        <w:numPr>
          <w:ilvl w:val="0"/>
          <w:numId w:val="10"/>
        </w:numPr>
        <w:spacing w:before="120" w:after="120"/>
        <w:ind w:firstLine="54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pistes ouvertes par l’examen clinique et la modélisation du langage</w:t>
      </w:r>
    </w:p>
    <w:p w:rsidR="002F7074" w:rsidRPr="006E0C67" w:rsidRDefault="002F7074" w:rsidP="002F7074">
      <w:pPr>
        <w:pStyle w:val="Paragraphedeliste"/>
        <w:numPr>
          <w:ilvl w:val="0"/>
          <w:numId w:val="10"/>
        </w:numPr>
        <w:spacing w:before="120" w:after="120"/>
        <w:ind w:firstLine="54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Rééducation individualisée des troubles du langage oral :</w:t>
      </w:r>
    </w:p>
    <w:p w:rsidR="002F7074" w:rsidRPr="006E0C67" w:rsidRDefault="002F7074" w:rsidP="002F7074">
      <w:pPr>
        <w:pStyle w:val="Paragraphedeliste"/>
        <w:numPr>
          <w:ilvl w:val="2"/>
          <w:numId w:val="13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La démutisation</w:t>
      </w:r>
    </w:p>
    <w:p w:rsidR="002F7074" w:rsidRPr="006E0C67" w:rsidRDefault="002F7074" w:rsidP="002F7074">
      <w:pPr>
        <w:pStyle w:val="Paragraphedeliste"/>
        <w:numPr>
          <w:ilvl w:val="2"/>
          <w:numId w:val="13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praxies bucco-faciales</w:t>
      </w:r>
    </w:p>
    <w:p w:rsidR="002F7074" w:rsidRPr="006E0C67" w:rsidRDefault="002F7074" w:rsidP="002F7074">
      <w:pPr>
        <w:pStyle w:val="Paragraphedeliste"/>
        <w:numPr>
          <w:ilvl w:val="2"/>
          <w:numId w:val="13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L’accès au lexique et productions lexicales</w:t>
      </w:r>
    </w:p>
    <w:p w:rsidR="002F7074" w:rsidRPr="006E0C67" w:rsidRDefault="002F7074" w:rsidP="002F7074">
      <w:pPr>
        <w:pStyle w:val="Paragraphedeliste"/>
        <w:numPr>
          <w:ilvl w:val="2"/>
          <w:numId w:val="13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 développement des capacités expressives verbales : la MIT et la TMR</w:t>
      </w:r>
    </w:p>
    <w:p w:rsidR="002F7074" w:rsidRPr="006E0C67" w:rsidRDefault="002F7074" w:rsidP="002F7074">
      <w:pPr>
        <w:pStyle w:val="Paragraphedeliste"/>
        <w:numPr>
          <w:ilvl w:val="2"/>
          <w:numId w:val="13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déficits sémantiques</w:t>
      </w:r>
    </w:p>
    <w:p w:rsidR="002F7074" w:rsidRPr="006E0C67" w:rsidRDefault="002F7074" w:rsidP="002F7074">
      <w:pPr>
        <w:pStyle w:val="Paragraphedeliste"/>
        <w:numPr>
          <w:ilvl w:val="2"/>
          <w:numId w:val="13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déficits syntaxiques</w:t>
      </w:r>
    </w:p>
    <w:p w:rsidR="002F7074" w:rsidRPr="006E0C67" w:rsidRDefault="002F7074" w:rsidP="002F7074">
      <w:pPr>
        <w:pStyle w:val="Paragraphedeliste"/>
        <w:numPr>
          <w:ilvl w:val="2"/>
          <w:numId w:val="13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troubles de la compréhension orale</w:t>
      </w:r>
    </w:p>
    <w:p w:rsidR="002F7074" w:rsidRPr="006E0C67" w:rsidRDefault="002F7074" w:rsidP="002F7074">
      <w:pPr>
        <w:pStyle w:val="Paragraphedeliste"/>
        <w:ind w:left="2160"/>
        <w:rPr>
          <w:rFonts w:asciiTheme="majorHAnsi" w:hAnsiTheme="majorHAnsi" w:cs="Tahoma"/>
          <w:color w:val="17365D"/>
        </w:rPr>
      </w:pPr>
    </w:p>
    <w:p w:rsidR="002F7074" w:rsidRPr="006E0C67" w:rsidRDefault="002F7074" w:rsidP="002F7074">
      <w:pPr>
        <w:pStyle w:val="Paragraphedeliste"/>
        <w:ind w:left="0"/>
        <w:rPr>
          <w:rFonts w:asciiTheme="majorHAnsi" w:hAnsiTheme="majorHAnsi" w:cs="Arial"/>
          <w:b/>
          <w:color w:val="17365D"/>
        </w:rPr>
      </w:pPr>
    </w:p>
    <w:p w:rsidR="002F7074" w:rsidRPr="006E0C67" w:rsidRDefault="002F7074" w:rsidP="002F7074">
      <w:pPr>
        <w:pStyle w:val="Paragraphedeliste"/>
        <w:ind w:left="0"/>
        <w:rPr>
          <w:rFonts w:asciiTheme="majorHAnsi" w:hAnsiTheme="majorHAnsi" w:cs="Arial"/>
          <w:b/>
          <w:color w:val="17365D"/>
        </w:rPr>
      </w:pPr>
      <w:r w:rsidRPr="006E0C67">
        <w:rPr>
          <w:rFonts w:asciiTheme="majorHAnsi" w:hAnsiTheme="majorHAnsi" w:cs="Arial"/>
          <w:b/>
          <w:color w:val="17365D"/>
        </w:rPr>
        <w:t>14h00-17h00</w:t>
      </w:r>
    </w:p>
    <w:p w:rsidR="002F7074" w:rsidRPr="006E0C67" w:rsidRDefault="002F7074" w:rsidP="002F7074">
      <w:pPr>
        <w:widowControl w:val="0"/>
        <w:numPr>
          <w:ilvl w:val="0"/>
          <w:numId w:val="9"/>
        </w:numPr>
        <w:suppressAutoHyphens/>
        <w:spacing w:line="276" w:lineRule="auto"/>
        <w:rPr>
          <w:rFonts w:asciiTheme="majorHAnsi" w:hAnsiTheme="majorHAnsi" w:cs="Tahoma"/>
          <w:b/>
          <w:bCs/>
          <w:i/>
          <w:iCs/>
          <w:color w:val="17365D"/>
        </w:rPr>
      </w:pPr>
      <w:r w:rsidRPr="006E0C67">
        <w:rPr>
          <w:rFonts w:asciiTheme="majorHAnsi" w:hAnsiTheme="majorHAnsi" w:cs="Tahoma"/>
          <w:b/>
          <w:bCs/>
          <w:i/>
          <w:iCs/>
          <w:color w:val="17365D"/>
        </w:rPr>
        <w:t>Remédier aux troubles du langage dans l’aphasie : approches neurolinguistiques et cognitives. Le patient et son rééducateur</w:t>
      </w:r>
    </w:p>
    <w:p w:rsidR="002F7074" w:rsidRPr="006E0C67" w:rsidRDefault="002F7074" w:rsidP="002F7074">
      <w:pPr>
        <w:widowControl w:val="0"/>
        <w:suppressAutoHyphens/>
        <w:spacing w:line="276" w:lineRule="auto"/>
        <w:ind w:left="720"/>
        <w:rPr>
          <w:rFonts w:asciiTheme="majorHAnsi" w:hAnsiTheme="majorHAnsi" w:cs="Tahoma"/>
          <w:b/>
          <w:bCs/>
          <w:i/>
          <w:iCs/>
          <w:color w:val="17365D"/>
        </w:rPr>
      </w:pPr>
      <w:r w:rsidRPr="006E0C67">
        <w:rPr>
          <w:rFonts w:asciiTheme="majorHAnsi" w:hAnsiTheme="majorHAnsi" w:cs="Tahoma"/>
          <w:b/>
          <w:bCs/>
          <w:i/>
          <w:iCs/>
          <w:color w:val="17365D"/>
        </w:rPr>
        <w:t>Entraîner et développer les habiletés de la personne aphasique : langage écrit</w:t>
      </w:r>
    </w:p>
    <w:p w:rsidR="002F7074" w:rsidRPr="006E0C67" w:rsidRDefault="002F7074" w:rsidP="002F7074">
      <w:pPr>
        <w:pStyle w:val="Paragraphedeliste"/>
        <w:numPr>
          <w:ilvl w:val="0"/>
          <w:numId w:val="10"/>
        </w:numPr>
        <w:spacing w:before="120" w:after="120"/>
        <w:ind w:firstLine="54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Rééducation individualisée des troubles du langage écrit :</w:t>
      </w:r>
    </w:p>
    <w:p w:rsidR="002F7074" w:rsidRPr="006E0C67" w:rsidRDefault="002F7074" w:rsidP="002F7074">
      <w:pPr>
        <w:pStyle w:val="Paragraphedeliste"/>
        <w:numPr>
          <w:ilvl w:val="1"/>
          <w:numId w:val="14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La rééducation des troubles périphériques et des troubles centraux de la lecture</w:t>
      </w:r>
    </w:p>
    <w:p w:rsidR="002F7074" w:rsidRPr="006E0C67" w:rsidRDefault="002F7074" w:rsidP="002F7074">
      <w:pPr>
        <w:pStyle w:val="Paragraphedeliste"/>
        <w:numPr>
          <w:ilvl w:val="1"/>
          <w:numId w:val="14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La rééducation des troubles périphériques et des troubles centraux de l’écriture</w:t>
      </w:r>
    </w:p>
    <w:p w:rsidR="002F7074" w:rsidRPr="006E0C67" w:rsidRDefault="002F7074" w:rsidP="002F7074">
      <w:pPr>
        <w:pStyle w:val="Paragraphedeliste"/>
        <w:numPr>
          <w:ilvl w:val="1"/>
          <w:numId w:val="14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L’hémianopsie et l’héminégligence</w:t>
      </w:r>
    </w:p>
    <w:p w:rsidR="002F7074" w:rsidRPr="006E0C67" w:rsidRDefault="002F7074" w:rsidP="002F7074">
      <w:pPr>
        <w:pStyle w:val="Paragraphedeliste"/>
        <w:numPr>
          <w:ilvl w:val="1"/>
          <w:numId w:val="14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troubles de la compréhension écrite</w:t>
      </w:r>
    </w:p>
    <w:p w:rsidR="002F7074" w:rsidRPr="006E0C67" w:rsidRDefault="002F7074" w:rsidP="002F7074">
      <w:pPr>
        <w:pStyle w:val="Paragraphedeliste"/>
        <w:ind w:left="2127"/>
        <w:rPr>
          <w:rFonts w:asciiTheme="majorHAnsi" w:hAnsiTheme="majorHAnsi" w:cs="Tahoma"/>
          <w:color w:val="17365D"/>
        </w:rPr>
      </w:pPr>
    </w:p>
    <w:p w:rsidR="002F7074" w:rsidRPr="006E0C67" w:rsidRDefault="002F7074" w:rsidP="002F7074">
      <w:pPr>
        <w:pStyle w:val="Paragraphedeliste"/>
        <w:numPr>
          <w:ilvl w:val="1"/>
          <w:numId w:val="11"/>
        </w:numPr>
        <w:spacing w:before="120" w:after="120"/>
        <w:ind w:hanging="666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Déni et anosognosie</w:t>
      </w:r>
    </w:p>
    <w:p w:rsidR="002F7074" w:rsidRPr="006E0C67" w:rsidRDefault="002F7074" w:rsidP="002F7074">
      <w:pPr>
        <w:pStyle w:val="Paragraphedeliste"/>
        <w:ind w:left="1800"/>
        <w:rPr>
          <w:rFonts w:asciiTheme="majorHAnsi" w:hAnsiTheme="majorHAnsi" w:cs="Tahoma"/>
          <w:color w:val="17365D"/>
        </w:rPr>
      </w:pPr>
    </w:p>
    <w:p w:rsidR="002F7074" w:rsidRPr="006E0C67" w:rsidRDefault="002F7074" w:rsidP="002F7074">
      <w:pPr>
        <w:pStyle w:val="Paragraphedeliste"/>
        <w:numPr>
          <w:ilvl w:val="1"/>
          <w:numId w:val="11"/>
        </w:numPr>
        <w:spacing w:before="120" w:after="120"/>
        <w:ind w:hanging="666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La place des fonctions exécutives dans l’utilisation du langage en contexte </w:t>
      </w:r>
    </w:p>
    <w:p w:rsidR="002F7074" w:rsidRPr="006E0C67" w:rsidRDefault="002F7074" w:rsidP="002F7074">
      <w:pPr>
        <w:spacing w:line="276" w:lineRule="auto"/>
        <w:rPr>
          <w:rFonts w:asciiTheme="majorHAnsi" w:hAnsiTheme="majorHAnsi"/>
          <w:b/>
          <w:color w:val="17365D"/>
        </w:rPr>
      </w:pPr>
    </w:p>
    <w:p w:rsidR="002F7074" w:rsidRPr="006E0C67" w:rsidRDefault="002F7074" w:rsidP="002F7074">
      <w:pPr>
        <w:spacing w:line="276" w:lineRule="auto"/>
        <w:rPr>
          <w:rFonts w:asciiTheme="majorHAnsi" w:hAnsiTheme="majorHAnsi"/>
          <w:b/>
          <w:color w:val="17365D"/>
        </w:rPr>
      </w:pPr>
    </w:p>
    <w:p w:rsidR="002F7074" w:rsidRPr="006E0C67" w:rsidRDefault="002F7074" w:rsidP="002F7074">
      <w:pPr>
        <w:spacing w:line="276" w:lineRule="auto"/>
        <w:rPr>
          <w:rFonts w:asciiTheme="majorHAnsi" w:hAnsiTheme="majorHAnsi"/>
          <w:b/>
          <w:color w:val="17365D"/>
        </w:rPr>
      </w:pPr>
      <w:r w:rsidRPr="006E0C67">
        <w:rPr>
          <w:rFonts w:asciiTheme="majorHAnsi" w:hAnsiTheme="majorHAnsi"/>
          <w:b/>
          <w:color w:val="17365D"/>
        </w:rPr>
        <w:t>08h30-12h30</w:t>
      </w:r>
    </w:p>
    <w:p w:rsidR="002F7074" w:rsidRPr="006E0C67" w:rsidRDefault="002F7074" w:rsidP="002F7074">
      <w:pPr>
        <w:widowControl w:val="0"/>
        <w:numPr>
          <w:ilvl w:val="0"/>
          <w:numId w:val="9"/>
        </w:numPr>
        <w:suppressAutoHyphens/>
        <w:spacing w:line="276" w:lineRule="auto"/>
        <w:rPr>
          <w:rFonts w:asciiTheme="majorHAnsi" w:hAnsiTheme="majorHAnsi" w:cs="Tahoma"/>
          <w:b/>
          <w:bCs/>
          <w:i/>
          <w:iCs/>
          <w:color w:val="17365D"/>
        </w:rPr>
      </w:pPr>
      <w:r w:rsidRPr="006E0C67">
        <w:rPr>
          <w:rFonts w:asciiTheme="majorHAnsi" w:hAnsiTheme="majorHAnsi" w:cs="Tahoma"/>
          <w:b/>
          <w:bCs/>
          <w:i/>
          <w:iCs/>
          <w:color w:val="17365D"/>
        </w:rPr>
        <w:t>Aphasie et handicap de communication, le processus de réparation : approches pragmatiques. Patient, partenaires, aidants et rééducateur</w:t>
      </w:r>
    </w:p>
    <w:p w:rsidR="002F7074" w:rsidRPr="006E0C67" w:rsidRDefault="002F7074" w:rsidP="002F7074">
      <w:pPr>
        <w:widowControl w:val="0"/>
        <w:suppressAutoHyphens/>
        <w:spacing w:line="276" w:lineRule="auto"/>
        <w:ind w:left="720"/>
        <w:rPr>
          <w:rFonts w:asciiTheme="majorHAnsi" w:hAnsiTheme="majorHAnsi" w:cs="Tahoma"/>
          <w:b/>
          <w:bCs/>
          <w:i/>
          <w:iCs/>
          <w:color w:val="17365D"/>
        </w:rPr>
      </w:pPr>
      <w:r w:rsidRPr="006E0C67">
        <w:rPr>
          <w:rFonts w:asciiTheme="majorHAnsi" w:hAnsiTheme="majorHAnsi" w:cs="Tahoma"/>
          <w:b/>
          <w:bCs/>
          <w:i/>
          <w:iCs/>
          <w:color w:val="17365D"/>
        </w:rPr>
        <w:t>Former et entraîner les interlocuteurs</w:t>
      </w:r>
    </w:p>
    <w:p w:rsidR="002F7074" w:rsidRPr="006E0C67" w:rsidRDefault="002F7074" w:rsidP="002F7074">
      <w:pPr>
        <w:pStyle w:val="Paragraphedeliste"/>
        <w:numPr>
          <w:ilvl w:val="1"/>
          <w:numId w:val="9"/>
        </w:numPr>
        <w:spacing w:before="120" w:after="120"/>
        <w:ind w:hanging="306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 xml:space="preserve">Centrées sur le patient aphasique : </w:t>
      </w:r>
    </w:p>
    <w:p w:rsidR="002F7074" w:rsidRPr="006E0C67" w:rsidRDefault="002F7074" w:rsidP="002F7074">
      <w:pPr>
        <w:pStyle w:val="Paragraphedeliste"/>
        <w:numPr>
          <w:ilvl w:val="2"/>
          <w:numId w:val="15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 développement des productions multimodales : la PACE</w:t>
      </w:r>
    </w:p>
    <w:p w:rsidR="002F7074" w:rsidRPr="006E0C67" w:rsidRDefault="002F7074" w:rsidP="002F7074">
      <w:pPr>
        <w:pStyle w:val="Paragraphedeliste"/>
        <w:ind w:left="2160"/>
        <w:rPr>
          <w:rFonts w:asciiTheme="majorHAnsi" w:hAnsiTheme="majorHAnsi" w:cs="Tahoma"/>
          <w:color w:val="17365D"/>
        </w:rPr>
      </w:pPr>
    </w:p>
    <w:p w:rsidR="002F7074" w:rsidRPr="006E0C67" w:rsidRDefault="002F7074" w:rsidP="002F7074">
      <w:pPr>
        <w:pStyle w:val="Paragraphedeliste"/>
        <w:numPr>
          <w:ilvl w:val="1"/>
          <w:numId w:val="9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Centrées sur des partenaires aphasiques : la prise en charge de groupe</w:t>
      </w:r>
    </w:p>
    <w:p w:rsidR="002F7074" w:rsidRPr="006E0C67" w:rsidRDefault="002F7074" w:rsidP="002F7074">
      <w:pPr>
        <w:pStyle w:val="Paragraphedeliste"/>
        <w:numPr>
          <w:ilvl w:val="1"/>
          <w:numId w:val="16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 xml:space="preserve">Principes de fonctionnement : groupe ouvert / groupe fermé, population, rythme, durée, contenu </w:t>
      </w:r>
    </w:p>
    <w:p w:rsidR="002F7074" w:rsidRPr="006E0C67" w:rsidRDefault="002F7074" w:rsidP="002F7074">
      <w:pPr>
        <w:pStyle w:val="Paragraphedeliste"/>
        <w:numPr>
          <w:ilvl w:val="1"/>
          <w:numId w:val="16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Objectif : la circulation des informations</w:t>
      </w:r>
    </w:p>
    <w:p w:rsidR="002F7074" w:rsidRPr="006E0C67" w:rsidRDefault="002F7074" w:rsidP="002F7074">
      <w:pPr>
        <w:pStyle w:val="Paragraphedeliste"/>
        <w:numPr>
          <w:ilvl w:val="1"/>
          <w:numId w:val="16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Nature du matériel utilisé</w:t>
      </w:r>
    </w:p>
    <w:p w:rsidR="002F7074" w:rsidRPr="006E0C67" w:rsidRDefault="002F7074" w:rsidP="002F7074">
      <w:pPr>
        <w:pStyle w:val="Paragraphedeliste"/>
        <w:ind w:left="2127"/>
        <w:rPr>
          <w:rFonts w:asciiTheme="majorHAnsi" w:hAnsiTheme="majorHAnsi" w:cs="Tahoma"/>
          <w:color w:val="17365D"/>
        </w:rPr>
      </w:pPr>
    </w:p>
    <w:p w:rsidR="002F7074" w:rsidRPr="006E0C67" w:rsidRDefault="002F7074" w:rsidP="002F7074">
      <w:pPr>
        <w:pStyle w:val="Paragraphedeliste"/>
        <w:numPr>
          <w:ilvl w:val="1"/>
          <w:numId w:val="9"/>
        </w:numPr>
        <w:spacing w:before="120" w:after="120"/>
        <w:ind w:left="1418" w:hanging="284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 xml:space="preserve">Centrées sur le patient et son partenaire habituel de communication : </w:t>
      </w:r>
    </w:p>
    <w:p w:rsidR="002F7074" w:rsidRPr="006E0C67" w:rsidRDefault="002F7074" w:rsidP="002F7074">
      <w:pPr>
        <w:pStyle w:val="Paragraphedeliste"/>
        <w:numPr>
          <w:ilvl w:val="2"/>
          <w:numId w:val="17"/>
        </w:numPr>
        <w:spacing w:before="120" w:after="12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L’analyse conversationnelle : une approche psycho-sociale comportementale</w:t>
      </w:r>
    </w:p>
    <w:p w:rsidR="002F7074" w:rsidRPr="006E0C67" w:rsidRDefault="002F7074" w:rsidP="002F7074">
      <w:pPr>
        <w:pStyle w:val="Paragraphedeliste"/>
        <w:rPr>
          <w:rFonts w:asciiTheme="majorHAnsi" w:hAnsiTheme="majorHAnsi" w:cs="Arial"/>
          <w:b/>
          <w:color w:val="17365D"/>
        </w:rPr>
      </w:pPr>
    </w:p>
    <w:p w:rsidR="002F7074" w:rsidRPr="006E0C67" w:rsidRDefault="002F7074" w:rsidP="002F7074">
      <w:pPr>
        <w:pStyle w:val="Paragraphedeliste"/>
        <w:ind w:left="0"/>
        <w:rPr>
          <w:rFonts w:asciiTheme="majorHAnsi" w:hAnsiTheme="majorHAnsi" w:cs="Arial"/>
          <w:b/>
          <w:color w:val="17365D"/>
        </w:rPr>
      </w:pPr>
    </w:p>
    <w:p w:rsidR="002F7074" w:rsidRPr="006E0C67" w:rsidRDefault="002F7074" w:rsidP="002F7074">
      <w:pPr>
        <w:pStyle w:val="Paragraphedeliste"/>
        <w:ind w:left="0"/>
        <w:rPr>
          <w:rFonts w:asciiTheme="majorHAnsi" w:hAnsiTheme="majorHAnsi" w:cs="Arial"/>
          <w:b/>
          <w:color w:val="17365D"/>
        </w:rPr>
      </w:pPr>
    </w:p>
    <w:p w:rsidR="002F7074" w:rsidRPr="006E0C67" w:rsidRDefault="002F7074" w:rsidP="002F7074">
      <w:pPr>
        <w:pStyle w:val="Paragraphedeliste"/>
        <w:ind w:left="0"/>
        <w:rPr>
          <w:rFonts w:asciiTheme="majorHAnsi" w:hAnsiTheme="majorHAnsi" w:cs="Arial"/>
          <w:b/>
          <w:color w:val="17365D"/>
        </w:rPr>
      </w:pPr>
      <w:r w:rsidRPr="006E0C67">
        <w:rPr>
          <w:rFonts w:asciiTheme="majorHAnsi" w:hAnsiTheme="majorHAnsi" w:cs="Arial"/>
          <w:b/>
          <w:color w:val="17365D"/>
        </w:rPr>
        <w:t>14h00-17h00</w:t>
      </w:r>
    </w:p>
    <w:p w:rsidR="002F7074" w:rsidRPr="006E0C67" w:rsidRDefault="002F7074" w:rsidP="002F7074">
      <w:pPr>
        <w:pStyle w:val="Paragraphedeliste"/>
        <w:numPr>
          <w:ilvl w:val="1"/>
          <w:numId w:val="9"/>
        </w:numPr>
        <w:spacing w:before="120" w:after="120"/>
        <w:ind w:left="1418" w:hanging="284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 xml:space="preserve">Centrées sur le patient et son partenaire habituel de communication : </w:t>
      </w:r>
    </w:p>
    <w:p w:rsidR="002F7074" w:rsidRPr="006E0C67" w:rsidRDefault="002F7074" w:rsidP="002F7074">
      <w:pPr>
        <w:widowControl w:val="0"/>
        <w:suppressAutoHyphens/>
        <w:spacing w:line="276" w:lineRule="auto"/>
        <w:ind w:left="2160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 classeur de communication : une démarche palliative qui contourne les troubles</w:t>
      </w:r>
    </w:p>
    <w:p w:rsidR="002F7074" w:rsidRPr="006E0C67" w:rsidRDefault="002F7074" w:rsidP="002F7074">
      <w:pPr>
        <w:numPr>
          <w:ilvl w:val="0"/>
          <w:numId w:val="12"/>
        </w:numPr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 SACCC, le SAICOMSA et le C.COM, et autres ?</w:t>
      </w:r>
    </w:p>
    <w:p w:rsidR="002F7074" w:rsidRPr="006E0C67" w:rsidRDefault="002F7074" w:rsidP="002F7074">
      <w:pPr>
        <w:numPr>
          <w:ilvl w:val="0"/>
          <w:numId w:val="12"/>
        </w:numPr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Pertinence de l’outil : la faisabilité</w:t>
      </w:r>
    </w:p>
    <w:p w:rsidR="002F7074" w:rsidRPr="006E0C67" w:rsidRDefault="002F7074" w:rsidP="002F7074">
      <w:pPr>
        <w:numPr>
          <w:ilvl w:val="0"/>
          <w:numId w:val="12"/>
        </w:numPr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Création d’un outil adapté patient/partenaire(s)</w:t>
      </w:r>
    </w:p>
    <w:p w:rsidR="002F7074" w:rsidRPr="006E0C67" w:rsidRDefault="002F7074" w:rsidP="002F7074">
      <w:pPr>
        <w:numPr>
          <w:ilvl w:val="0"/>
          <w:numId w:val="12"/>
        </w:numPr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Utilisation du support : qui répare, comment ?</w:t>
      </w:r>
    </w:p>
    <w:p w:rsidR="002F7074" w:rsidRPr="006E0C67" w:rsidRDefault="002F7074" w:rsidP="002F7074">
      <w:pPr>
        <w:numPr>
          <w:ilvl w:val="0"/>
          <w:numId w:val="12"/>
        </w:numPr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Procédure spécifique d’installation : mises en situation pratique patient et partenaire(s)</w:t>
      </w:r>
    </w:p>
    <w:p w:rsidR="002F7074" w:rsidRPr="006E0C67" w:rsidRDefault="002F7074" w:rsidP="002F7074">
      <w:pPr>
        <w:widowControl w:val="0"/>
        <w:numPr>
          <w:ilvl w:val="0"/>
          <w:numId w:val="12"/>
        </w:numPr>
        <w:suppressAutoHyphens/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Evaluer l'adéquation et l'efficacité de l'outil installé</w:t>
      </w:r>
    </w:p>
    <w:p w:rsidR="002F7074" w:rsidRPr="006E0C67" w:rsidRDefault="002F7074" w:rsidP="002F7074">
      <w:pPr>
        <w:widowControl w:val="0"/>
        <w:suppressAutoHyphens/>
        <w:spacing w:line="276" w:lineRule="auto"/>
        <w:rPr>
          <w:rFonts w:asciiTheme="majorHAnsi" w:hAnsiTheme="majorHAnsi" w:cs="Tahoma"/>
          <w:color w:val="17365D"/>
        </w:rPr>
      </w:pPr>
    </w:p>
    <w:p w:rsidR="002F7074" w:rsidRPr="006E0C67" w:rsidRDefault="002F7074" w:rsidP="002F7074">
      <w:pPr>
        <w:widowControl w:val="0"/>
        <w:numPr>
          <w:ilvl w:val="0"/>
          <w:numId w:val="9"/>
        </w:numPr>
        <w:suppressAutoHyphens/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Un état des lieux de la caisse à outil du rééducateur :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supports papier en rééducation et réadaptation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supports ludiques adaptés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 xml:space="preserve">Les supports informatisés : logiciels sur ordinateur et tablette numérique, </w:t>
      </w:r>
      <w:r w:rsidRPr="006E0C67">
        <w:rPr>
          <w:rFonts w:asciiTheme="majorHAnsi" w:hAnsiTheme="majorHAnsi" w:cs="Tahoma"/>
          <w:color w:val="17365D"/>
        </w:rPr>
        <w:lastRenderedPageBreak/>
        <w:t>la réalité virtuelle</w:t>
      </w:r>
    </w:p>
    <w:p w:rsidR="002F7074" w:rsidRPr="006E0C67" w:rsidRDefault="002F7074" w:rsidP="002F7074">
      <w:pPr>
        <w:widowControl w:val="0"/>
        <w:numPr>
          <w:ilvl w:val="0"/>
          <w:numId w:val="9"/>
        </w:numPr>
        <w:suppressAutoHyphens/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Evaluer nos pratiques :</w:t>
      </w:r>
    </w:p>
    <w:p w:rsidR="002F7074" w:rsidRPr="006E0C67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La démarche</w:t>
      </w:r>
    </w:p>
    <w:p w:rsidR="002F7074" w:rsidRDefault="002F7074" w:rsidP="002F7074">
      <w:pPr>
        <w:widowControl w:val="0"/>
        <w:numPr>
          <w:ilvl w:val="1"/>
          <w:numId w:val="9"/>
        </w:numPr>
        <w:suppressAutoHyphens/>
        <w:spacing w:line="276" w:lineRule="auto"/>
        <w:rPr>
          <w:rFonts w:asciiTheme="majorHAnsi" w:hAnsiTheme="majorHAnsi" w:cs="Tahoma"/>
          <w:color w:val="17365D"/>
        </w:rPr>
      </w:pPr>
      <w:r w:rsidRPr="006E0C67">
        <w:rPr>
          <w:rFonts w:asciiTheme="majorHAnsi" w:hAnsiTheme="majorHAnsi" w:cs="Tahoma"/>
          <w:color w:val="17365D"/>
        </w:rPr>
        <w:t>Les outils</w:t>
      </w:r>
    </w:p>
    <w:p w:rsidR="00500FFF" w:rsidRDefault="00500FFF" w:rsidP="00500FFF">
      <w:pPr>
        <w:widowControl w:val="0"/>
        <w:suppressAutoHyphens/>
        <w:spacing w:line="276" w:lineRule="auto"/>
        <w:rPr>
          <w:rFonts w:asciiTheme="majorHAnsi" w:hAnsiTheme="majorHAnsi" w:cs="Tahoma"/>
          <w:color w:val="17365D"/>
        </w:rPr>
      </w:pPr>
    </w:p>
    <w:p w:rsidR="00500FFF" w:rsidRDefault="00500FFF" w:rsidP="00500FFF">
      <w:pPr>
        <w:rPr>
          <w:rFonts w:asciiTheme="majorHAnsi" w:hAnsiTheme="majorHAnsi"/>
          <w:sz w:val="28"/>
          <w:szCs w:val="28"/>
        </w:rPr>
      </w:pPr>
      <w:r w:rsidRPr="00500FFF">
        <w:rPr>
          <w:rFonts w:asciiTheme="majorHAnsi" w:hAnsiTheme="majorHAnsi"/>
          <w:b/>
          <w:sz w:val="28"/>
          <w:szCs w:val="28"/>
          <w:u w:val="single"/>
        </w:rPr>
        <w:t>Moyens pédagogiques</w:t>
      </w:r>
      <w:r>
        <w:rPr>
          <w:rFonts w:asciiTheme="majorHAnsi" w:hAnsiTheme="majorHAnsi"/>
          <w:sz w:val="28"/>
          <w:szCs w:val="28"/>
        </w:rPr>
        <w:t xml:space="preserve"> : </w:t>
      </w:r>
    </w:p>
    <w:p w:rsidR="00500FFF" w:rsidRPr="00500FFF" w:rsidRDefault="00500FFF" w:rsidP="00500FFF">
      <w:pPr>
        <w:widowControl w:val="0"/>
        <w:tabs>
          <w:tab w:val="left" w:pos="1680"/>
        </w:tabs>
        <w:suppressAutoHyphens/>
        <w:spacing w:line="276" w:lineRule="auto"/>
        <w:rPr>
          <w:rFonts w:asciiTheme="majorHAnsi" w:hAnsiTheme="majorHAnsi" w:cs="Tahoma"/>
          <w:color w:val="17365D"/>
        </w:rPr>
      </w:pPr>
      <w:r>
        <w:rPr>
          <w:rFonts w:asciiTheme="majorHAnsi" w:hAnsiTheme="majorHAnsi" w:cs="Tahoma"/>
          <w:color w:val="17365D"/>
        </w:rPr>
        <w:tab/>
      </w:r>
      <w:bookmarkStart w:id="0" w:name="_GoBack"/>
      <w:bookmarkEnd w:id="0"/>
    </w:p>
    <w:p w:rsidR="00500FFF" w:rsidRPr="00E73F6D" w:rsidRDefault="00500FFF" w:rsidP="00500FF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E73F6D">
        <w:rPr>
          <w:rFonts w:ascii="Arial" w:hAnsi="Arial" w:cs="Arial"/>
          <w:color w:val="000000"/>
          <w:sz w:val="22"/>
          <w:szCs w:val="22"/>
          <w:lang w:eastAsia="fr-FR"/>
        </w:rPr>
        <w:t xml:space="preserve">Présentation sous forme d’un diaporama projeté sur écran (+ documents papier imprimé par </w:t>
      </w:r>
      <w:proofErr w:type="spellStart"/>
      <w:r w:rsidRPr="00E73F6D">
        <w:rPr>
          <w:rFonts w:ascii="Arial" w:hAnsi="Arial" w:cs="Arial"/>
          <w:color w:val="000000"/>
          <w:sz w:val="22"/>
          <w:szCs w:val="22"/>
          <w:lang w:eastAsia="fr-FR"/>
        </w:rPr>
        <w:t>SOLFormation</w:t>
      </w:r>
      <w:proofErr w:type="spellEnd"/>
      <w:r w:rsidRPr="00E73F6D">
        <w:rPr>
          <w:rFonts w:ascii="Arial" w:hAnsi="Arial" w:cs="Arial"/>
          <w:color w:val="000000"/>
          <w:sz w:val="22"/>
          <w:szCs w:val="22"/>
          <w:lang w:eastAsia="fr-FR"/>
        </w:rPr>
        <w:t xml:space="preserve"> disponible pour les stagiaires) ;</w:t>
      </w:r>
    </w:p>
    <w:p w:rsidR="00500FFF" w:rsidRPr="00E73F6D" w:rsidRDefault="00500FFF" w:rsidP="00500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500FFF" w:rsidRPr="00E73F6D" w:rsidRDefault="00500FFF" w:rsidP="00500FF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E73F6D">
        <w:rPr>
          <w:rFonts w:ascii="Arial" w:hAnsi="Arial" w:cs="Arial"/>
          <w:color w:val="000000"/>
          <w:sz w:val="22"/>
          <w:szCs w:val="22"/>
          <w:lang w:eastAsia="fr-FR"/>
        </w:rPr>
        <w:t xml:space="preserve">Supports </w:t>
      </w:r>
      <w:proofErr w:type="spellStart"/>
      <w:r w:rsidRPr="00E73F6D">
        <w:rPr>
          <w:rFonts w:ascii="Arial" w:hAnsi="Arial" w:cs="Arial"/>
          <w:color w:val="000000"/>
          <w:sz w:val="22"/>
          <w:szCs w:val="22"/>
          <w:lang w:eastAsia="fr-FR"/>
        </w:rPr>
        <w:t>audios</w:t>
      </w:r>
      <w:proofErr w:type="spellEnd"/>
      <w:r w:rsidRPr="00E73F6D">
        <w:rPr>
          <w:rFonts w:ascii="Arial" w:hAnsi="Arial" w:cs="Arial"/>
          <w:color w:val="000000"/>
          <w:sz w:val="22"/>
          <w:szCs w:val="22"/>
          <w:lang w:eastAsia="fr-FR"/>
        </w:rPr>
        <w:t>, Vidéos</w:t>
      </w:r>
    </w:p>
    <w:p w:rsidR="00500FFF" w:rsidRPr="00E73F6D" w:rsidRDefault="00500FFF" w:rsidP="00500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500FFF" w:rsidRPr="00E73F6D" w:rsidRDefault="00500FFF" w:rsidP="00500FF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E73F6D">
        <w:rPr>
          <w:rFonts w:ascii="Arial" w:hAnsi="Arial" w:cs="Arial"/>
          <w:color w:val="000000"/>
          <w:sz w:val="22"/>
          <w:szCs w:val="22"/>
          <w:lang w:eastAsia="fr-FR"/>
        </w:rPr>
        <w:t xml:space="preserve">Ateliers pratiques : en petits groupes (temps dédié à la création de matériel, manipulations concrètes d’outils) </w:t>
      </w:r>
    </w:p>
    <w:p w:rsidR="002F7074" w:rsidRPr="006E0C67" w:rsidRDefault="002F7074" w:rsidP="006E0C67">
      <w:pPr>
        <w:spacing w:line="276" w:lineRule="auto"/>
        <w:rPr>
          <w:rFonts w:asciiTheme="majorHAnsi" w:eastAsia="Times New Roman" w:hAnsiTheme="majorHAnsi"/>
          <w:lang w:eastAsia="fr-FR"/>
        </w:rPr>
      </w:pPr>
    </w:p>
    <w:p w:rsidR="006A40AC" w:rsidRPr="006E0C67" w:rsidRDefault="006A40AC" w:rsidP="006A40AC">
      <w:pPr>
        <w:spacing w:after="200" w:line="276" w:lineRule="auto"/>
        <w:rPr>
          <w:rFonts w:asciiTheme="majorHAnsi" w:hAnsiTheme="majorHAnsi" w:cs="Arial"/>
          <w:b/>
          <w:sz w:val="32"/>
          <w:szCs w:val="32"/>
        </w:rPr>
      </w:pPr>
      <w:r w:rsidRPr="006E0C67">
        <w:rPr>
          <w:rFonts w:asciiTheme="majorHAnsi" w:hAnsiTheme="majorHAnsi" w:cs="Arial"/>
          <w:b/>
          <w:sz w:val="28"/>
          <w:szCs w:val="28"/>
          <w:u w:val="single"/>
        </w:rPr>
        <w:t>Moyens d’encadrement et d’animation</w:t>
      </w:r>
      <w:r w:rsidRPr="006E0C67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E0C67">
        <w:rPr>
          <w:rFonts w:asciiTheme="majorHAnsi" w:hAnsiTheme="majorHAnsi" w:cs="Arial"/>
          <w:b/>
          <w:sz w:val="32"/>
          <w:szCs w:val="32"/>
        </w:rPr>
        <w:t xml:space="preserve">:   </w:t>
      </w:r>
    </w:p>
    <w:p w:rsidR="006A40AC" w:rsidRPr="006E0C67" w:rsidRDefault="00500FFF" w:rsidP="006A40AC">
      <w:pPr>
        <w:spacing w:after="200" w:line="276" w:lineRule="auto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/>
        </w:rPr>
        <w:t>U</w:t>
      </w:r>
      <w:r w:rsidR="006A40AC" w:rsidRPr="006E0C67">
        <w:rPr>
          <w:rFonts w:asciiTheme="majorHAnsi" w:hAnsiTheme="majorHAnsi"/>
        </w:rPr>
        <w:t xml:space="preserve">ne représentante de </w:t>
      </w:r>
      <w:proofErr w:type="spellStart"/>
      <w:r w:rsidR="006A40AC" w:rsidRPr="006E0C67">
        <w:rPr>
          <w:rFonts w:asciiTheme="majorHAnsi" w:hAnsiTheme="majorHAnsi"/>
        </w:rPr>
        <w:t>SOLFormation</w:t>
      </w:r>
      <w:proofErr w:type="spellEnd"/>
      <w:r w:rsidR="006A40AC" w:rsidRPr="006E0C67">
        <w:rPr>
          <w:rFonts w:asciiTheme="majorHAnsi" w:hAnsiTheme="majorHAnsi"/>
        </w:rPr>
        <w:t xml:space="preserve"> sera présente : il s’agit de : </w:t>
      </w:r>
      <w:r w:rsidR="006A40AC" w:rsidRPr="006E0C67">
        <w:rPr>
          <w:rFonts w:asciiTheme="majorHAnsi" w:hAnsiTheme="majorHAnsi"/>
          <w:b/>
        </w:rPr>
        <w:t>Emmanuelle TAPP-MERVELET, orthophoniste (</w:t>
      </w:r>
      <w:hyperlink r:id="rId8" w:history="1">
        <w:r w:rsidR="006A40AC" w:rsidRPr="006E0C67">
          <w:rPr>
            <w:rFonts w:asciiTheme="majorHAnsi" w:hAnsiTheme="majorHAnsi"/>
            <w:b/>
            <w:color w:val="0000FF"/>
            <w:u w:val="single"/>
          </w:rPr>
          <w:t>e.mervelet@orange.fr</w:t>
        </w:r>
      </w:hyperlink>
      <w:r w:rsidR="006A40AC" w:rsidRPr="006E0C67">
        <w:rPr>
          <w:rFonts w:asciiTheme="majorHAnsi" w:hAnsiTheme="majorHAnsi"/>
          <w:b/>
        </w:rPr>
        <w:t xml:space="preserve"> 03/87/36/75/80, 06/10/79/36/</w:t>
      </w:r>
      <w:r w:rsidR="006E0C67" w:rsidRPr="006E0C67">
        <w:rPr>
          <w:rFonts w:asciiTheme="majorHAnsi" w:hAnsiTheme="majorHAnsi"/>
          <w:b/>
        </w:rPr>
        <w:t>81</w:t>
      </w:r>
      <w:r w:rsidR="006A40AC" w:rsidRPr="006E0C67">
        <w:rPr>
          <w:rFonts w:asciiTheme="majorHAnsi" w:hAnsiTheme="majorHAnsi"/>
          <w:b/>
        </w:rPr>
        <w:t>, 10, La Tannerie 57070 ST JULIEN LES METZ)</w:t>
      </w:r>
    </w:p>
    <w:p w:rsidR="006A40AC" w:rsidRPr="006E0C67" w:rsidRDefault="006A40AC" w:rsidP="006A40AC">
      <w:pPr>
        <w:rPr>
          <w:rFonts w:asciiTheme="majorHAnsi" w:hAnsiTheme="majorHAnsi"/>
        </w:rPr>
      </w:pPr>
      <w:r w:rsidRPr="006E0C67">
        <w:rPr>
          <w:rFonts w:asciiTheme="majorHAnsi" w:hAnsiTheme="majorHAnsi"/>
        </w:rPr>
        <w:t>Elle sera chargée des relations avec les stagiaires et pourra être contactée pour toute demande de renseignements concernant ce stage.</w:t>
      </w:r>
    </w:p>
    <w:p w:rsidR="006A40AC" w:rsidRPr="006E0C67" w:rsidRDefault="006A40AC" w:rsidP="006A40AC">
      <w:pPr>
        <w:tabs>
          <w:tab w:val="left" w:pos="5820"/>
        </w:tabs>
        <w:rPr>
          <w:rFonts w:asciiTheme="majorHAnsi" w:hAnsiTheme="majorHAnsi"/>
        </w:rPr>
      </w:pPr>
      <w:r w:rsidRPr="006E0C67">
        <w:rPr>
          <w:rFonts w:asciiTheme="majorHAnsi" w:hAnsiTheme="majorHAnsi"/>
        </w:rPr>
        <w:tab/>
      </w:r>
    </w:p>
    <w:p w:rsidR="006A40AC" w:rsidRPr="006E0C67" w:rsidRDefault="006A40AC" w:rsidP="006A40AC">
      <w:pPr>
        <w:rPr>
          <w:rFonts w:asciiTheme="majorHAnsi" w:hAnsiTheme="majorHAnsi" w:cs="Arial"/>
          <w:b/>
          <w:sz w:val="32"/>
          <w:szCs w:val="32"/>
        </w:rPr>
      </w:pPr>
      <w:r w:rsidRPr="006E0C67">
        <w:rPr>
          <w:rFonts w:asciiTheme="majorHAnsi" w:hAnsiTheme="majorHAnsi" w:cs="Arial"/>
          <w:b/>
          <w:sz w:val="28"/>
          <w:szCs w:val="28"/>
          <w:u w:val="single"/>
        </w:rPr>
        <w:t>Modalités d’évaluation de la formation</w:t>
      </w:r>
      <w:r w:rsidRPr="006E0C67">
        <w:rPr>
          <w:rFonts w:asciiTheme="majorHAnsi" w:hAnsiTheme="majorHAnsi" w:cs="Arial"/>
          <w:b/>
          <w:sz w:val="32"/>
          <w:szCs w:val="32"/>
        </w:rPr>
        <w:t xml:space="preserve"> : </w:t>
      </w:r>
    </w:p>
    <w:p w:rsidR="006A40AC" w:rsidRPr="006E0C67" w:rsidRDefault="006E0C67" w:rsidP="006A40AC">
      <w:pPr>
        <w:rPr>
          <w:rFonts w:asciiTheme="majorHAnsi" w:hAnsiTheme="majorHAnsi"/>
        </w:rPr>
      </w:pPr>
      <w:r w:rsidRPr="006E0C67">
        <w:rPr>
          <w:rFonts w:asciiTheme="majorHAnsi" w:hAnsiTheme="majorHAnsi"/>
        </w:rPr>
        <w:t>U</w:t>
      </w:r>
      <w:r w:rsidR="006A40AC" w:rsidRPr="006E0C67">
        <w:rPr>
          <w:rFonts w:asciiTheme="majorHAnsi" w:hAnsiTheme="majorHAnsi"/>
        </w:rPr>
        <w:t>n questionnaire de satisfaction / organisation et contenu du programme sera fourni aux participants</w:t>
      </w:r>
    </w:p>
    <w:p w:rsidR="006A40AC" w:rsidRPr="006E0C67" w:rsidRDefault="006A40AC" w:rsidP="006A40AC">
      <w:pPr>
        <w:widowControl w:val="0"/>
        <w:autoSpaceDE w:val="0"/>
        <w:autoSpaceDN w:val="0"/>
        <w:adjustRightInd w:val="0"/>
        <w:ind w:left="360"/>
        <w:rPr>
          <w:rFonts w:asciiTheme="majorHAnsi" w:hAnsiTheme="majorHAnsi"/>
          <w:kern w:val="28"/>
          <w:u w:val="single"/>
        </w:rPr>
      </w:pPr>
    </w:p>
    <w:p w:rsidR="006A40AC" w:rsidRPr="006E0C67" w:rsidRDefault="006A40AC" w:rsidP="006A40A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kern w:val="28"/>
          <w:sz w:val="32"/>
          <w:szCs w:val="32"/>
        </w:rPr>
      </w:pPr>
      <w:r w:rsidRPr="006E0C67">
        <w:rPr>
          <w:rFonts w:asciiTheme="majorHAnsi" w:hAnsiTheme="majorHAnsi" w:cs="Arial"/>
          <w:b/>
          <w:kern w:val="28"/>
          <w:sz w:val="28"/>
          <w:szCs w:val="28"/>
          <w:u w:val="single"/>
        </w:rPr>
        <w:t>Modalités d’évaluation des acquis des connaissances</w:t>
      </w:r>
      <w:r w:rsidRPr="006E0C67">
        <w:rPr>
          <w:rFonts w:asciiTheme="majorHAnsi" w:hAnsiTheme="majorHAnsi" w:cs="Arial"/>
          <w:b/>
          <w:kern w:val="28"/>
          <w:sz w:val="32"/>
          <w:szCs w:val="32"/>
        </w:rPr>
        <w:t> :</w:t>
      </w:r>
    </w:p>
    <w:p w:rsidR="006A40AC" w:rsidRPr="006E0C67" w:rsidRDefault="006E0C67" w:rsidP="006A40AC">
      <w:pPr>
        <w:widowControl w:val="0"/>
        <w:autoSpaceDE w:val="0"/>
        <w:autoSpaceDN w:val="0"/>
        <w:adjustRightInd w:val="0"/>
        <w:rPr>
          <w:rFonts w:asciiTheme="majorHAnsi" w:eastAsia="Times New Roman" w:hAnsiTheme="majorHAnsi"/>
          <w:u w:val="single"/>
          <w:lang w:eastAsia="fr-FR"/>
        </w:rPr>
      </w:pPr>
      <w:r w:rsidRPr="006E0C67">
        <w:rPr>
          <w:rFonts w:asciiTheme="majorHAnsi" w:hAnsiTheme="majorHAnsi"/>
          <w:kern w:val="28"/>
        </w:rPr>
        <w:t>U</w:t>
      </w:r>
      <w:r w:rsidR="006A40AC" w:rsidRPr="006E0C67">
        <w:rPr>
          <w:rFonts w:asciiTheme="majorHAnsi" w:hAnsiTheme="majorHAnsi"/>
          <w:kern w:val="28"/>
        </w:rPr>
        <w:t>n questionnaire de connaissances fourni par la formatrice sera remis aux participants.</w:t>
      </w:r>
      <w:r w:rsidR="006A40AC" w:rsidRPr="006E0C67">
        <w:rPr>
          <w:rFonts w:asciiTheme="majorHAnsi" w:eastAsia="Times New Roman" w:hAnsiTheme="majorHAnsi"/>
          <w:u w:val="single"/>
          <w:lang w:eastAsia="fr-FR"/>
        </w:rPr>
        <w:t xml:space="preserve"> </w:t>
      </w:r>
    </w:p>
    <w:p w:rsidR="006A40AC" w:rsidRPr="006E0C67" w:rsidRDefault="006A40AC" w:rsidP="006A40AC">
      <w:pPr>
        <w:widowControl w:val="0"/>
        <w:autoSpaceDE w:val="0"/>
        <w:autoSpaceDN w:val="0"/>
        <w:adjustRightInd w:val="0"/>
        <w:ind w:left="360"/>
        <w:rPr>
          <w:rFonts w:asciiTheme="majorHAnsi" w:eastAsia="Times New Roman" w:hAnsiTheme="majorHAnsi"/>
          <w:u w:val="single"/>
          <w:lang w:eastAsia="fr-FR"/>
        </w:rPr>
      </w:pPr>
    </w:p>
    <w:p w:rsidR="006A40AC" w:rsidRPr="006E0C67" w:rsidRDefault="006A40AC" w:rsidP="006A40A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kern w:val="28"/>
          <w:sz w:val="32"/>
          <w:szCs w:val="32"/>
        </w:rPr>
      </w:pPr>
      <w:r w:rsidRPr="006E0C67">
        <w:rPr>
          <w:rFonts w:asciiTheme="majorHAnsi" w:hAnsiTheme="majorHAnsi" w:cs="Arial"/>
          <w:b/>
          <w:kern w:val="28"/>
          <w:sz w:val="28"/>
          <w:szCs w:val="28"/>
          <w:u w:val="single"/>
        </w:rPr>
        <w:t>Moyens de suivre l’exécution du programme</w:t>
      </w:r>
      <w:r w:rsidRPr="006E0C67">
        <w:rPr>
          <w:rFonts w:asciiTheme="majorHAnsi" w:hAnsiTheme="majorHAnsi" w:cs="Arial"/>
          <w:b/>
          <w:kern w:val="28"/>
          <w:sz w:val="32"/>
          <w:szCs w:val="32"/>
        </w:rPr>
        <w:t> :</w:t>
      </w:r>
    </w:p>
    <w:p w:rsidR="006A40AC" w:rsidRPr="006E0C67" w:rsidRDefault="006E0C67" w:rsidP="006A40AC">
      <w:pPr>
        <w:widowControl w:val="0"/>
        <w:autoSpaceDE w:val="0"/>
        <w:autoSpaceDN w:val="0"/>
        <w:adjustRightInd w:val="0"/>
        <w:rPr>
          <w:rFonts w:asciiTheme="majorHAnsi" w:hAnsiTheme="majorHAnsi"/>
          <w:kern w:val="28"/>
        </w:rPr>
      </w:pPr>
      <w:r w:rsidRPr="006E0C67">
        <w:rPr>
          <w:rFonts w:asciiTheme="majorHAnsi" w:hAnsiTheme="majorHAnsi"/>
          <w:kern w:val="28"/>
        </w:rPr>
        <w:t>U</w:t>
      </w:r>
      <w:r w:rsidR="006A40AC" w:rsidRPr="006E0C67">
        <w:rPr>
          <w:rFonts w:asciiTheme="majorHAnsi" w:hAnsiTheme="majorHAnsi"/>
          <w:kern w:val="28"/>
        </w:rPr>
        <w:t>ne liste d’émargement sera signée à chaque demi-journée.</w:t>
      </w:r>
    </w:p>
    <w:p w:rsidR="006A40AC" w:rsidRPr="006E0C67" w:rsidRDefault="006A40AC" w:rsidP="006A40AC">
      <w:pPr>
        <w:rPr>
          <w:rFonts w:asciiTheme="majorHAnsi" w:hAnsiTheme="majorHAnsi"/>
        </w:rPr>
      </w:pPr>
    </w:p>
    <w:p w:rsidR="006A40AC" w:rsidRPr="006E0C67" w:rsidRDefault="006A40AC" w:rsidP="006A40AC">
      <w:pPr>
        <w:rPr>
          <w:rFonts w:asciiTheme="majorHAnsi" w:hAnsiTheme="majorHAnsi"/>
        </w:rPr>
      </w:pPr>
      <w:r w:rsidRPr="006E0C67">
        <w:rPr>
          <w:rFonts w:asciiTheme="majorHAnsi" w:hAnsiTheme="majorHAnsi" w:cs="Arial"/>
          <w:b/>
          <w:sz w:val="28"/>
          <w:szCs w:val="28"/>
          <w:u w:val="single"/>
        </w:rPr>
        <w:t>Tarif</w:t>
      </w:r>
      <w:r w:rsidRPr="006E0C67">
        <w:rPr>
          <w:rFonts w:asciiTheme="majorHAnsi" w:hAnsiTheme="majorHAnsi" w:cs="Arial"/>
          <w:sz w:val="28"/>
          <w:szCs w:val="28"/>
        </w:rPr>
        <w:t> :</w:t>
      </w:r>
      <w:r w:rsidRPr="006E0C67">
        <w:rPr>
          <w:rFonts w:asciiTheme="majorHAnsi" w:hAnsiTheme="majorHAnsi"/>
        </w:rPr>
        <w:t xml:space="preserve"> </w:t>
      </w:r>
      <w:r w:rsidR="00100CAB" w:rsidRPr="006E0C67">
        <w:rPr>
          <w:rFonts w:asciiTheme="majorHAnsi" w:hAnsiTheme="majorHAnsi"/>
        </w:rPr>
        <w:t xml:space="preserve">Prix demandé au stagiaire : </w:t>
      </w:r>
      <w:r w:rsidRPr="006E0C67">
        <w:rPr>
          <w:rFonts w:asciiTheme="majorHAnsi" w:hAnsiTheme="majorHAnsi"/>
        </w:rPr>
        <w:t xml:space="preserve">320€ </w:t>
      </w:r>
    </w:p>
    <w:p w:rsidR="006A40AC" w:rsidRPr="006E0C67" w:rsidRDefault="006A40AC" w:rsidP="006A40AC">
      <w:pPr>
        <w:rPr>
          <w:rFonts w:asciiTheme="majorHAnsi" w:hAnsiTheme="majorHAnsi"/>
        </w:rPr>
      </w:pPr>
      <w:r w:rsidRPr="006E0C67">
        <w:rPr>
          <w:rFonts w:asciiTheme="majorHAnsi" w:hAnsiTheme="majorHAnsi"/>
        </w:rPr>
        <w:tab/>
      </w:r>
      <w:r w:rsidRPr="006E0C67">
        <w:rPr>
          <w:rFonts w:asciiTheme="majorHAnsi" w:hAnsiTheme="majorHAnsi"/>
        </w:rPr>
        <w:tab/>
      </w:r>
    </w:p>
    <w:p w:rsidR="00634C94" w:rsidRDefault="00634C94" w:rsidP="00634C94">
      <w:pPr>
        <w:rPr>
          <w:sz w:val="28"/>
          <w:szCs w:val="28"/>
        </w:rPr>
      </w:pPr>
    </w:p>
    <w:p w:rsidR="00634C94" w:rsidRDefault="00634C94" w:rsidP="00634C94">
      <w:pPr>
        <w:rPr>
          <w:sz w:val="28"/>
          <w:szCs w:val="28"/>
        </w:rPr>
      </w:pPr>
    </w:p>
    <w:p w:rsidR="00634C94" w:rsidRDefault="00634C94" w:rsidP="00634C94">
      <w:pPr>
        <w:rPr>
          <w:sz w:val="28"/>
          <w:szCs w:val="28"/>
        </w:rPr>
      </w:pPr>
    </w:p>
    <w:p w:rsidR="00634C94" w:rsidRDefault="00634C94"/>
    <w:sectPr w:rsidR="00634C94" w:rsidSect="00632C1D">
      <w:headerReference w:type="default" r:id="rId9"/>
      <w:footerReference w:type="default" r:id="rId10"/>
      <w:pgSz w:w="11900" w:h="16840"/>
      <w:pgMar w:top="2238" w:right="1418" w:bottom="1701" w:left="1418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24" w:rsidRDefault="006E3824" w:rsidP="00A64F94">
      <w:r>
        <w:separator/>
      </w:r>
    </w:p>
  </w:endnote>
  <w:endnote w:type="continuationSeparator" w:id="0">
    <w:p w:rsidR="006E3824" w:rsidRDefault="006E3824" w:rsidP="00A6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50" w:rsidRDefault="0013344E" w:rsidP="00167450">
    <w:pPr>
      <w:pStyle w:val="Pieddepage"/>
      <w:jc w:val="center"/>
    </w:pPr>
    <w:proofErr w:type="spellStart"/>
    <w:r w:rsidRPr="003A065A">
      <w:rPr>
        <w:b/>
        <w:sz w:val="22"/>
        <w:szCs w:val="22"/>
      </w:rPr>
      <w:t>SOLFormation</w:t>
    </w:r>
    <w:proofErr w:type="spellEnd"/>
    <w:r w:rsidR="00940889" w:rsidRPr="003A065A">
      <w:rPr>
        <w:b/>
        <w:sz w:val="22"/>
        <w:szCs w:val="22"/>
      </w:rPr>
      <w:t xml:space="preserve"> </w:t>
    </w:r>
    <w:r w:rsidR="00A376AD">
      <w:rPr>
        <w:b/>
        <w:sz w:val="22"/>
        <w:szCs w:val="22"/>
      </w:rPr>
      <w:t xml:space="preserve">- </w:t>
    </w:r>
    <w:r w:rsidR="00167450" w:rsidRPr="00940889">
      <w:t>SAS au capital de 500€</w:t>
    </w:r>
    <w:r w:rsidR="00167450">
      <w:t xml:space="preserve"> - - </w:t>
    </w:r>
    <w:r w:rsidR="00167450" w:rsidRPr="00940889">
      <w:t>SIRET 7</w:t>
    </w:r>
    <w:r w:rsidR="00167450">
      <w:t>94 148 148 00016 - RCS EPINAL</w:t>
    </w:r>
  </w:p>
  <w:p w:rsidR="00A376AD" w:rsidRPr="00340239" w:rsidRDefault="00A376AD" w:rsidP="00A376AD">
    <w:pPr>
      <w:pStyle w:val="Pieddepage"/>
      <w:jc w:val="center"/>
    </w:pPr>
    <w:r w:rsidRPr="00E6383B">
      <w:rPr>
        <w:sz w:val="22"/>
      </w:rPr>
      <w:t>72 rue d’Alsace</w:t>
    </w:r>
    <w:r>
      <w:rPr>
        <w:sz w:val="22"/>
      </w:rPr>
      <w:t xml:space="preserve"> – F </w:t>
    </w:r>
    <w:r w:rsidRPr="00E6383B">
      <w:rPr>
        <w:sz w:val="22"/>
      </w:rPr>
      <w:t>88150 T</w:t>
    </w:r>
    <w:r>
      <w:rPr>
        <w:sz w:val="22"/>
      </w:rPr>
      <w:t>haon</w:t>
    </w:r>
    <w:r w:rsidRPr="00E6383B">
      <w:rPr>
        <w:sz w:val="22"/>
      </w:rPr>
      <w:t>-Les-Vosges</w:t>
    </w:r>
    <w:r>
      <w:rPr>
        <w:sz w:val="22"/>
      </w:rPr>
      <w:t xml:space="preserve"> - </w:t>
    </w:r>
    <w:r w:rsidRPr="00E6383B">
      <w:rPr>
        <w:sz w:val="22"/>
      </w:rPr>
      <w:t>03 29 37 23 85</w:t>
    </w:r>
    <w:r>
      <w:rPr>
        <w:sz w:val="22"/>
      </w:rPr>
      <w:t xml:space="preserve"> - </w:t>
    </w:r>
    <w:hyperlink r:id="rId1" w:history="1">
      <w:r w:rsidRPr="00340239">
        <w:rPr>
          <w:rStyle w:val="Lienhypertexte"/>
          <w:sz w:val="22"/>
          <w:szCs w:val="22"/>
        </w:rPr>
        <w:t>solf.formation@gmail.com</w:t>
      </w:r>
    </w:hyperlink>
  </w:p>
  <w:p w:rsidR="0013344E" w:rsidRPr="00A376AD" w:rsidRDefault="00940889" w:rsidP="00A376AD">
    <w:pPr>
      <w:pStyle w:val="Pieddepage"/>
      <w:jc w:val="center"/>
    </w:pPr>
    <w:r w:rsidRPr="00940889">
      <w:t xml:space="preserve">Déclaration d’activité enregistrée sous le N° </w:t>
    </w:r>
    <w:r w:rsidRPr="00C03F53">
      <w:rPr>
        <w:sz w:val="18"/>
      </w:rPr>
      <w:t>41 88 01204 88</w:t>
    </w:r>
    <w:r w:rsidRPr="00940889">
      <w:t>. Cet enregistrement ne vaut pas agrément de d’Etat.</w:t>
    </w:r>
  </w:p>
  <w:p w:rsidR="00635743" w:rsidRDefault="00635743" w:rsidP="008A3D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24" w:rsidRDefault="006E3824" w:rsidP="00A64F94">
      <w:r>
        <w:separator/>
      </w:r>
    </w:p>
  </w:footnote>
  <w:footnote w:type="continuationSeparator" w:id="0">
    <w:p w:rsidR="006E3824" w:rsidRDefault="006E3824" w:rsidP="00A6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C8" w:rsidRDefault="008208C8" w:rsidP="008412CA">
    <w:pPr>
      <w:pStyle w:val="En-tte"/>
      <w:ind w:left="-993"/>
      <w:rPr>
        <w:noProof/>
        <w:lang w:eastAsia="fr-FR"/>
      </w:rPr>
    </w:pPr>
  </w:p>
  <w:p w:rsidR="008412CA" w:rsidRDefault="00CA3EE8" w:rsidP="008412CA">
    <w:pPr>
      <w:pStyle w:val="En-tte"/>
      <w:ind w:left="-993"/>
    </w:pPr>
    <w:r>
      <w:rPr>
        <w:noProof/>
        <w:lang w:eastAsia="fr-FR"/>
      </w:rPr>
      <w:drawing>
        <wp:inline distT="0" distB="0" distL="0" distR="0" wp14:anchorId="2CF101B4" wp14:editId="34DB1BB3">
          <wp:extent cx="2324100" cy="1009650"/>
          <wp:effectExtent l="19050" t="0" r="0" b="0"/>
          <wp:docPr id="1" name="Image 1" descr="0 logo SOLF jpe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0 logo SOLF jpeg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C46"/>
    <w:multiLevelType w:val="hybridMultilevel"/>
    <w:tmpl w:val="C902CE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ED0C67"/>
    <w:multiLevelType w:val="hybridMultilevel"/>
    <w:tmpl w:val="41E6857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D62AE2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71616D"/>
    <w:multiLevelType w:val="hybridMultilevel"/>
    <w:tmpl w:val="BAF832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00001">
      <w:start w:val="2"/>
      <w:numFmt w:val="bullet"/>
      <w:lvlText w:val="-"/>
      <w:lvlJc w:val="left"/>
      <w:pPr>
        <w:ind w:left="2160" w:hanging="360"/>
      </w:pPr>
      <w:rPr>
        <w:rFonts w:ascii="Tahoma" w:hAnsi="Tahoma" w:cs="Tahoma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40587"/>
    <w:multiLevelType w:val="hybridMultilevel"/>
    <w:tmpl w:val="FD8A33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F7737"/>
    <w:multiLevelType w:val="hybridMultilevel"/>
    <w:tmpl w:val="B8A89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4154"/>
    <w:multiLevelType w:val="hybridMultilevel"/>
    <w:tmpl w:val="E188CC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1">
      <w:start w:val="2"/>
      <w:numFmt w:val="bullet"/>
      <w:lvlText w:val="-"/>
      <w:lvlJc w:val="left"/>
      <w:pPr>
        <w:ind w:left="2160" w:hanging="360"/>
      </w:pPr>
      <w:rPr>
        <w:rFonts w:ascii="Tahoma" w:hAnsi="Tahoma" w:cs="Tahoma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36DA2"/>
    <w:multiLevelType w:val="hybridMultilevel"/>
    <w:tmpl w:val="B31017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E07E0D"/>
    <w:multiLevelType w:val="hybridMultilevel"/>
    <w:tmpl w:val="0102F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706F3"/>
    <w:multiLevelType w:val="hybridMultilevel"/>
    <w:tmpl w:val="A6686B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000001">
      <w:start w:val="2"/>
      <w:numFmt w:val="bullet"/>
      <w:lvlText w:val="-"/>
      <w:lvlJc w:val="left"/>
      <w:pPr>
        <w:ind w:left="1800" w:hanging="360"/>
      </w:pPr>
      <w:rPr>
        <w:rFonts w:ascii="Tahoma" w:hAnsi="Tahoma" w:cs="Tahoma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5B3765"/>
    <w:multiLevelType w:val="hybridMultilevel"/>
    <w:tmpl w:val="0964A89E"/>
    <w:lvl w:ilvl="0" w:tplc="5EDA4D5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C73E1"/>
    <w:multiLevelType w:val="hybridMultilevel"/>
    <w:tmpl w:val="A02051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00001">
      <w:start w:val="2"/>
      <w:numFmt w:val="bullet"/>
      <w:lvlText w:val="-"/>
      <w:lvlJc w:val="left"/>
      <w:pPr>
        <w:ind w:left="2160" w:hanging="360"/>
      </w:pPr>
      <w:rPr>
        <w:rFonts w:ascii="Tahoma" w:hAnsi="Tahoma" w:cs="Tahoma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86AC8"/>
    <w:multiLevelType w:val="hybridMultilevel"/>
    <w:tmpl w:val="ADBE0766"/>
    <w:lvl w:ilvl="0" w:tplc="3CDE5F16">
      <w:start w:val="1"/>
      <w:numFmt w:val="bullet"/>
      <w:lvlText w:val="−"/>
      <w:lvlJc w:val="left"/>
      <w:pPr>
        <w:ind w:left="284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590A2535"/>
    <w:multiLevelType w:val="hybridMultilevel"/>
    <w:tmpl w:val="6E6480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C17E0"/>
    <w:multiLevelType w:val="hybridMultilevel"/>
    <w:tmpl w:val="1ED2DB3E"/>
    <w:lvl w:ilvl="0" w:tplc="E69C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4593E"/>
    <w:multiLevelType w:val="hybridMultilevel"/>
    <w:tmpl w:val="D55CE0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000001">
      <w:start w:val="2"/>
      <w:numFmt w:val="bullet"/>
      <w:lvlText w:val="-"/>
      <w:lvlJc w:val="left"/>
      <w:pPr>
        <w:ind w:left="1800" w:hanging="360"/>
      </w:pPr>
      <w:rPr>
        <w:rFonts w:ascii="Tahoma" w:hAnsi="Tahoma" w:cs="Tahoma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DE5F16">
      <w:start w:val="1"/>
      <w:numFmt w:val="bullet"/>
      <w:lvlText w:val="−"/>
      <w:lvlJc w:val="left"/>
      <w:pPr>
        <w:ind w:left="3240" w:hanging="360"/>
      </w:pPr>
      <w:rPr>
        <w:rFonts w:ascii="Arial" w:hAnsi="Aria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ED1941"/>
    <w:multiLevelType w:val="hybridMultilevel"/>
    <w:tmpl w:val="3EAE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25370"/>
    <w:multiLevelType w:val="hybridMultilevel"/>
    <w:tmpl w:val="908CDA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F82623"/>
    <w:multiLevelType w:val="hybridMultilevel"/>
    <w:tmpl w:val="86500B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3"/>
  </w:num>
  <w:num w:numId="5">
    <w:abstractNumId w:val="15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17"/>
  </w:num>
  <w:num w:numId="11">
    <w:abstractNumId w:val="0"/>
  </w:num>
  <w:num w:numId="12">
    <w:abstractNumId w:val="11"/>
  </w:num>
  <w:num w:numId="13">
    <w:abstractNumId w:val="5"/>
  </w:num>
  <w:num w:numId="14">
    <w:abstractNumId w:val="8"/>
  </w:num>
  <w:num w:numId="15">
    <w:abstractNumId w:val="2"/>
  </w:num>
  <w:num w:numId="16">
    <w:abstractNumId w:val="14"/>
  </w:num>
  <w:num w:numId="17">
    <w:abstractNumId w:val="10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37"/>
    <w:rsid w:val="00073BAE"/>
    <w:rsid w:val="00100CAB"/>
    <w:rsid w:val="001031BC"/>
    <w:rsid w:val="00114C29"/>
    <w:rsid w:val="0013344E"/>
    <w:rsid w:val="00133A85"/>
    <w:rsid w:val="00167450"/>
    <w:rsid w:val="001B06AE"/>
    <w:rsid w:val="001C0D26"/>
    <w:rsid w:val="001D6807"/>
    <w:rsid w:val="001E5437"/>
    <w:rsid w:val="0021511B"/>
    <w:rsid w:val="00234885"/>
    <w:rsid w:val="002F7074"/>
    <w:rsid w:val="00321438"/>
    <w:rsid w:val="003266DA"/>
    <w:rsid w:val="00340239"/>
    <w:rsid w:val="003A065A"/>
    <w:rsid w:val="003D3BFD"/>
    <w:rsid w:val="00413E5A"/>
    <w:rsid w:val="00474E83"/>
    <w:rsid w:val="00490E3E"/>
    <w:rsid w:val="004B567F"/>
    <w:rsid w:val="00500FFF"/>
    <w:rsid w:val="00525050"/>
    <w:rsid w:val="00572725"/>
    <w:rsid w:val="005C42E0"/>
    <w:rsid w:val="005D780E"/>
    <w:rsid w:val="005E493B"/>
    <w:rsid w:val="00632C1D"/>
    <w:rsid w:val="00634C94"/>
    <w:rsid w:val="00635743"/>
    <w:rsid w:val="00640734"/>
    <w:rsid w:val="0065421D"/>
    <w:rsid w:val="006A40AC"/>
    <w:rsid w:val="006E0C67"/>
    <w:rsid w:val="006E3824"/>
    <w:rsid w:val="007710E8"/>
    <w:rsid w:val="0079230F"/>
    <w:rsid w:val="007D06D6"/>
    <w:rsid w:val="008208C8"/>
    <w:rsid w:val="008412CA"/>
    <w:rsid w:val="00857697"/>
    <w:rsid w:val="008A3D56"/>
    <w:rsid w:val="008D24A6"/>
    <w:rsid w:val="008E5FE4"/>
    <w:rsid w:val="0092102A"/>
    <w:rsid w:val="00940889"/>
    <w:rsid w:val="00A376AD"/>
    <w:rsid w:val="00A4340E"/>
    <w:rsid w:val="00A64F94"/>
    <w:rsid w:val="00B44E9A"/>
    <w:rsid w:val="00BA3DE2"/>
    <w:rsid w:val="00BF5D43"/>
    <w:rsid w:val="00C03F53"/>
    <w:rsid w:val="00C64EAD"/>
    <w:rsid w:val="00C96667"/>
    <w:rsid w:val="00CA3EE8"/>
    <w:rsid w:val="00CA47A7"/>
    <w:rsid w:val="00CB4653"/>
    <w:rsid w:val="00CB7584"/>
    <w:rsid w:val="00DC728E"/>
    <w:rsid w:val="00DD12B0"/>
    <w:rsid w:val="00E0380E"/>
    <w:rsid w:val="00E11557"/>
    <w:rsid w:val="00E53BFE"/>
    <w:rsid w:val="00E53C42"/>
    <w:rsid w:val="00E6383B"/>
    <w:rsid w:val="00E9609E"/>
    <w:rsid w:val="00F840A7"/>
    <w:rsid w:val="00FD20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42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2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12CA"/>
  </w:style>
  <w:style w:type="paragraph" w:styleId="Pieddepage">
    <w:name w:val="footer"/>
    <w:basedOn w:val="Normal"/>
    <w:link w:val="PieddepageCar"/>
    <w:uiPriority w:val="99"/>
    <w:unhideWhenUsed/>
    <w:rsid w:val="008A3D56"/>
    <w:pPr>
      <w:tabs>
        <w:tab w:val="center" w:pos="4536"/>
        <w:tab w:val="right" w:pos="9072"/>
      </w:tabs>
      <w:ind w:left="-851"/>
    </w:pPr>
    <w:rPr>
      <w:rFonts w:ascii="Calibri" w:hAnsi="Calibri"/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8A3D56"/>
    <w:rPr>
      <w:rFonts w:ascii="Calibri" w:hAnsi="Calibri"/>
      <w:sz w:val="16"/>
      <w:szCs w:val="1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35743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635743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35743"/>
    <w:rPr>
      <w:rFonts w:eastAsia="Times New Roman"/>
      <w:sz w:val="22"/>
      <w:szCs w:val="22"/>
      <w:lang w:val="fr-FR" w:eastAsia="en-US" w:bidi="ar-SA"/>
    </w:rPr>
  </w:style>
  <w:style w:type="paragraph" w:styleId="Paragraphedeliste">
    <w:name w:val="List Paragraph"/>
    <w:basedOn w:val="Normal"/>
    <w:qFormat/>
    <w:rsid w:val="005727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Sous-titre">
    <w:name w:val="Subtitle"/>
    <w:basedOn w:val="Normal"/>
    <w:next w:val="Corpsdetexte"/>
    <w:link w:val="Sous-titreCar"/>
    <w:qFormat/>
    <w:rsid w:val="00634C94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rsid w:val="00634C9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34C9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34C9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42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2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12CA"/>
  </w:style>
  <w:style w:type="paragraph" w:styleId="Pieddepage">
    <w:name w:val="footer"/>
    <w:basedOn w:val="Normal"/>
    <w:link w:val="PieddepageCar"/>
    <w:uiPriority w:val="99"/>
    <w:unhideWhenUsed/>
    <w:rsid w:val="008A3D56"/>
    <w:pPr>
      <w:tabs>
        <w:tab w:val="center" w:pos="4536"/>
        <w:tab w:val="right" w:pos="9072"/>
      </w:tabs>
      <w:ind w:left="-851"/>
    </w:pPr>
    <w:rPr>
      <w:rFonts w:ascii="Calibri" w:hAnsi="Calibri"/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8A3D56"/>
    <w:rPr>
      <w:rFonts w:ascii="Calibri" w:hAnsi="Calibri"/>
      <w:sz w:val="16"/>
      <w:szCs w:val="1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35743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635743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35743"/>
    <w:rPr>
      <w:rFonts w:eastAsia="Times New Roman"/>
      <w:sz w:val="22"/>
      <w:szCs w:val="22"/>
      <w:lang w:val="fr-FR" w:eastAsia="en-US" w:bidi="ar-SA"/>
    </w:rPr>
  </w:style>
  <w:style w:type="paragraph" w:styleId="Paragraphedeliste">
    <w:name w:val="List Paragraph"/>
    <w:basedOn w:val="Normal"/>
    <w:qFormat/>
    <w:rsid w:val="005727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Sous-titre">
    <w:name w:val="Subtitle"/>
    <w:basedOn w:val="Normal"/>
    <w:next w:val="Corpsdetexte"/>
    <w:link w:val="Sous-titreCar"/>
    <w:qFormat/>
    <w:rsid w:val="00634C94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rsid w:val="00634C9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34C9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34C9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ervelet@orange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lf.form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Links>
    <vt:vector size="6" baseType="variant"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mailto:solf.formation@gmail.com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Emmanuelle</cp:lastModifiedBy>
  <cp:revision>3</cp:revision>
  <cp:lastPrinted>2013-10-22T15:33:00Z</cp:lastPrinted>
  <dcterms:created xsi:type="dcterms:W3CDTF">2016-12-14T21:14:00Z</dcterms:created>
  <dcterms:modified xsi:type="dcterms:W3CDTF">2016-12-14T21:21:00Z</dcterms:modified>
</cp:coreProperties>
</file>